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858c1701a3eaa8511f3599b5072056da149c1aa"/>
    <w:p>
      <w:pPr>
        <w:pStyle w:val="Heading1"/>
      </w:pPr>
      <w:r>
        <w:t xml:space="preserve">Thesis Proposal: Advancing Mechatronics Engineering Education and Industry Integration in Russia Saint Petersburg</w:t>
      </w:r>
    </w:p>
    <w:bookmarkStart w:id="20" w:name="introduction-and-background"/>
    <w:p>
      <w:pPr>
        <w:pStyle w:val="Heading2"/>
      </w:pPr>
      <w:r>
        <w:t xml:space="preserve">1. Introduction and Background</w:t>
      </w:r>
    </w:p>
    <w:p>
      <w:pPr>
        <w:pStyle w:val="FirstParagraph"/>
      </w:pPr>
      <w:r>
        <w:t xml:space="preserve">The rapid advancement of industrial automation and smart manufacturing technologies has positioned mechatronics engineering as a critical interdisciplinary field in modern industrial economies. In</w:t>
      </w:r>
      <w:r>
        <w:t xml:space="preserve"> </w:t>
      </w:r>
      <w:r>
        <w:rPr>
          <w:bCs/>
          <w:b/>
        </w:rPr>
        <w:t xml:space="preserve">Russia Saint Petersburg</w:t>
      </w:r>
      <w:r>
        <w:t xml:space="preserve">, a historical hub for technological innovation and home to leading institutions like Saint Petersburg State Polytechnic University (SPbPU) and ITMO University, the demand for skilled</w:t>
      </w:r>
      <w:r>
        <w:t xml:space="preserve"> </w:t>
      </w:r>
      <w:r>
        <w:rPr>
          <w:bCs/>
          <w:b/>
        </w:rPr>
        <w:t xml:space="preserve">Mechatronics Engineer</w:t>
      </w:r>
      <w:r>
        <w:t xml:space="preserve"> </w:t>
      </w:r>
      <w:r>
        <w:t xml:space="preserve">professionals has surged exponentially. However, current educational frameworks and industry practices in the region remain misaligned with global standards, creating a significant talent gap that impedes Russia's ambitions to compete in high-tech manufacturing, robotics, and advanced automation sectors. This</w:t>
      </w:r>
      <w:r>
        <w:t xml:space="preserve"> </w:t>
      </w:r>
      <w:r>
        <w:rPr>
          <w:bCs/>
          <w:b/>
        </w:rPr>
        <w:t xml:space="preserve">Thesis Proposal</w:t>
      </w:r>
      <w:r>
        <w:t xml:space="preserve"> </w:t>
      </w:r>
      <w:r>
        <w:t xml:space="preserve">addresses this critical disconnect through a comprehensive study of mechatronics engineering education reform and industry-academia collaboration models tailored for</w:t>
      </w:r>
      <w:r>
        <w:t xml:space="preserve"> </w:t>
      </w:r>
      <w:r>
        <w:rPr>
          <w:bCs/>
          <w:b/>
        </w:rPr>
        <w:t xml:space="preserve">Russia Saint Petersburg</w:t>
      </w:r>
      <w:r>
        <w:t xml:space="preserve">'s unique economic and technological landscape.</w:t>
      </w:r>
    </w:p>
    <w:bookmarkEnd w:id="20"/>
    <w:bookmarkStart w:id="21" w:name="problem-statement"/>
    <w:p>
      <w:pPr>
        <w:pStyle w:val="Heading2"/>
      </w:pPr>
      <w:r>
        <w:t xml:space="preserve">2. Problem Statement</w:t>
      </w:r>
    </w:p>
    <w:p>
      <w:pPr>
        <w:pStyle w:val="FirstParagraph"/>
      </w:pPr>
      <w:r>
        <w:t xml:space="preserve">Despite Saint Petersburg's status as Russia's second-largest industrial center—hosting major enterprises like the Kirov Plant, St. Petersburg Engineering Works, and burgeoning robotics startups—the local mechatronics workforce faces three systemic challenges: (1) Educational curricula lag behind industry needs in areas such as AI-driven automation and IoT integration; (2) Limited practical industry exposure during academic training; and (3) Insufficient cross-sector collaboration between universities, research institutes, and manufacturing firms. A 2023 Rosstat report confirmed that 68% of Saint Petersburg-based engineering firms struggle to hire qualified mechatronics specialists, directly impacting the region's competitiveness in global supply chains. This gap represents a strategic vulnerability for</w:t>
      </w:r>
      <w:r>
        <w:t xml:space="preserve"> </w:t>
      </w:r>
      <w:r>
        <w:rPr>
          <w:bCs/>
          <w:b/>
        </w:rPr>
        <w:t xml:space="preserve">Russia</w:t>
      </w:r>
      <w:r>
        <w:t xml:space="preserve">'s broader technological sovereignty goals.</w:t>
      </w:r>
    </w:p>
    <w:bookmarkEnd w:id="21"/>
    <w:bookmarkStart w:id="22" w:name="research-objectives"/>
    <w:p>
      <w:pPr>
        <w:pStyle w:val="Heading2"/>
      </w:pPr>
      <w:r>
        <w:t xml:space="preserve">3. Research Objectives</w:t>
      </w:r>
    </w:p>
    <w:p>
      <w:pPr>
        <w:pStyle w:val="FirstParagraph"/>
      </w:pPr>
      <w:r>
        <w:t xml:space="preserve">This thesis aims to develop a sustainable framework for mechatronics engineering education and workforce development in</w:t>
      </w:r>
      <w:r>
        <w:t xml:space="preserve"> </w:t>
      </w:r>
      <w:r>
        <w:rPr>
          <w:bCs/>
          <w:b/>
        </w:rPr>
        <w:t xml:space="preserve">Russia Saint Petersburg</w:t>
      </w:r>
      <w:r>
        <w:t xml:space="preserve">. Specific objectives include:</w:t>
      </w:r>
    </w:p>
    <w:p>
      <w:pPr>
        <w:numPr>
          <w:ilvl w:val="0"/>
          <w:numId w:val="1001"/>
        </w:numPr>
        <w:pStyle w:val="Compact"/>
      </w:pPr>
      <w:r>
        <w:rPr>
          <w:bCs/>
          <w:b/>
        </w:rPr>
        <w:t xml:space="preserve">Evaluate existing curricula</w:t>
      </w:r>
      <w:r>
        <w:t xml:space="preserve"> </w:t>
      </w:r>
      <w:r>
        <w:t xml:space="preserve">at key Saint Petersburg institutions against global benchmarks (e.g., ABET, EUROPASS) and industry requirements.</w:t>
      </w:r>
    </w:p>
    <w:p>
      <w:pPr>
        <w:numPr>
          <w:ilvl w:val="0"/>
          <w:numId w:val="1001"/>
        </w:numPr>
        <w:pStyle w:val="Compact"/>
      </w:pPr>
      <w:r>
        <w:rPr>
          <w:bCs/>
          <w:b/>
        </w:rPr>
        <w:t xml:space="preserve">Identify critical skill gaps</w:t>
      </w:r>
      <w:r>
        <w:t xml:space="preserve"> </w:t>
      </w:r>
      <w:r>
        <w:t xml:space="preserve">through surveys and interviews with 50+ mechatronics professionals across major local industries (automotive, aerospace, precision engineering).</w:t>
      </w:r>
    </w:p>
    <w:p>
      <w:pPr>
        <w:numPr>
          <w:ilvl w:val="0"/>
          <w:numId w:val="1001"/>
        </w:numPr>
        <w:pStyle w:val="Compact"/>
      </w:pPr>
      <w:r>
        <w:rPr>
          <w:bCs/>
          <w:b/>
        </w:rPr>
        <w:t xml:space="preserve">Design a competency-based curriculum model</w:t>
      </w:r>
      <w:r>
        <w:t xml:space="preserve"> </w:t>
      </w:r>
      <w:r>
        <w:t xml:space="preserve">integrating emerging technologies (digital twins, collaborative robotics) and practical industry immersion.</w:t>
      </w:r>
    </w:p>
    <w:p>
      <w:pPr>
        <w:numPr>
          <w:ilvl w:val="0"/>
          <w:numId w:val="1001"/>
        </w:numPr>
        <w:pStyle w:val="Compact"/>
      </w:pPr>
      <w:r>
        <w:rPr>
          <w:bCs/>
          <w:b/>
        </w:rPr>
        <w:t xml:space="preserve">Create a prototype industry-academia partnership framework</w:t>
      </w:r>
      <w:r>
        <w:t xml:space="preserve"> </w:t>
      </w:r>
      <w:r>
        <w:t xml:space="preserve">enabling real-time feedback loops between employers and educational institutions.</w:t>
      </w:r>
    </w:p>
    <w:bookmarkEnd w:id="22"/>
    <w:bookmarkStart w:id="23" w:name="Xace35b2ec8fc211eedb869544dedbdd5957f9f4"/>
    <w:p>
      <w:pPr>
        <w:pStyle w:val="Heading2"/>
      </w:pPr>
      <w:r>
        <w:t xml:space="preserve">4. Literature Review: Contextualizing the Russian Mechatronics Landscape</w:t>
      </w:r>
    </w:p>
    <w:p>
      <w:pPr>
        <w:pStyle w:val="FirstParagraph"/>
      </w:pPr>
      <w:r>
        <w:t xml:space="preserve">While Western studies (e.g., by IEEE and MIT) extensively analyze mechatronics education, Russian scholarship remains fragmented. Prior research by SPbPU (2021) highlighted pedagogical challenges in integrating mechanical, electrical, and computer science disciplines but lacked industry validation. Crucially, no comprehensive study has examined Saint Petersburg's unique ecosystem—where legacy Soviet-era industrial infrastructure coexists with new tech hubs like the "St. Petersburg Innovation Center." This thesis bridges this gap by contextualizing global best practices within Russia's specific socioeconomic framework, including state initiatives such as the 2021 National Technology Initiative (NTI) roadmap that prioritizes advanced manufacturing in Saint Petersburg.</w:t>
      </w:r>
    </w:p>
    <w:bookmarkEnd w:id="23"/>
    <w:bookmarkStart w:id="24" w:name="methodology"/>
    <w:p>
      <w:pPr>
        <w:pStyle w:val="Heading2"/>
      </w:pPr>
      <w:r>
        <w:t xml:space="preserve">5. Methodology</w:t>
      </w:r>
    </w:p>
    <w:p>
      <w:pPr>
        <w:pStyle w:val="FirstParagraph"/>
      </w:pPr>
      <w:r>
        <w:t xml:space="preserve">The research employs a mixed-methods approach grounded in Saint Petersburg's reality:</w:t>
      </w:r>
    </w:p>
    <w:p>
      <w:pPr>
        <w:numPr>
          <w:ilvl w:val="0"/>
          <w:numId w:val="1002"/>
        </w:numPr>
        <w:pStyle w:val="Compact"/>
      </w:pPr>
      <w:r>
        <w:rPr>
          <w:bCs/>
          <w:b/>
        </w:rPr>
        <w:t xml:space="preserve">Phase 1: Quantitative Analysis</w:t>
      </w:r>
      <w:r>
        <w:t xml:space="preserve"> </w:t>
      </w:r>
      <w:r>
        <w:t xml:space="preserve">– Survey of 30+ educational programs and industry partners to map curriculum-content alignment using the MECH-SCORE tool (a custom metric developed for this study).</w:t>
      </w:r>
    </w:p>
    <w:p>
      <w:pPr>
        <w:numPr>
          <w:ilvl w:val="0"/>
          <w:numId w:val="1002"/>
        </w:numPr>
        <w:pStyle w:val="Compact"/>
      </w:pPr>
      <w:r>
        <w:rPr>
          <w:bCs/>
          <w:b/>
        </w:rPr>
        <w:t xml:space="preserve">Phase 2: Qualitative Assessment</w:t>
      </w:r>
      <w:r>
        <w:t xml:space="preserve"> </w:t>
      </w:r>
      <w:r>
        <w:t xml:space="preserve">– Focus groups with mechatronics engineers at companies like Almaz-Antey (defense robotics) and Baltiyskiy Zavod (shipbuilding automation) to identify 10+ critical emerging competencies.</w:t>
      </w:r>
    </w:p>
    <w:p>
      <w:pPr>
        <w:numPr>
          <w:ilvl w:val="0"/>
          <w:numId w:val="1002"/>
        </w:numPr>
        <w:pStyle w:val="Compact"/>
      </w:pPr>
      <w:r>
        <w:rPr>
          <w:bCs/>
          <w:b/>
        </w:rPr>
        <w:t xml:space="preserve">Phase 3: Co-Design Workshop</w:t>
      </w:r>
      <w:r>
        <w:t xml:space="preserve"> </w:t>
      </w:r>
      <w:r>
        <w:t xml:space="preserve">– Facilitated sessions with SPbPU, ITMO University, and industry leaders (e.g., Siemens Russia representatives) to prototype the curriculum framework.</w:t>
      </w:r>
    </w:p>
    <w:p>
      <w:pPr>
        <w:numPr>
          <w:ilvl w:val="0"/>
          <w:numId w:val="1002"/>
        </w:numPr>
        <w:pStyle w:val="Compact"/>
      </w:pPr>
      <w:r>
        <w:rPr>
          <w:bCs/>
          <w:b/>
        </w:rPr>
        <w:t xml:space="preserve">Phase 4: Validation &amp; Simulation</w:t>
      </w:r>
      <w:r>
        <w:t xml:space="preserve"> </w:t>
      </w:r>
      <w:r>
        <w:t xml:space="preserve">– Use of system dynamics modeling to forecast workforce impact over a 5-year horizon under the proposed model.</w:t>
      </w:r>
    </w:p>
    <w:p>
      <w:pPr>
        <w:pStyle w:val="FirstParagraph"/>
      </w:pPr>
      <w:r>
        <w:t xml:space="preserve">All fieldwork will be conducted in Saint Petersburg, ensuring cultural and operational relevance. Ethical compliance with Russian academic standards (Order No. 496 of the Ministry of Education) will be strictly maintained.</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transformative outputs for</w:t>
      </w:r>
      <w:r>
        <w:t xml:space="preserve"> </w:t>
      </w:r>
      <w:r>
        <w:rPr>
          <w:bCs/>
          <w:b/>
        </w:rPr>
        <w:t xml:space="preserve">Russia Saint Petersburg</w:t>
      </w:r>
      <w:r>
        <w:t xml:space="preserve">:</w:t>
      </w:r>
    </w:p>
    <w:p>
      <w:pPr>
        <w:numPr>
          <w:ilvl w:val="0"/>
          <w:numId w:val="1003"/>
        </w:numPr>
        <w:pStyle w:val="Compact"/>
      </w:pPr>
      <w:r>
        <w:t xml:space="preserve">A validated mechatronics curriculum framework, targeting a 40% reduction in skills mismatch within 3 years.</w:t>
      </w:r>
    </w:p>
    <w:p>
      <w:pPr>
        <w:numPr>
          <w:ilvl w:val="0"/>
          <w:numId w:val="1003"/>
        </w:numPr>
        <w:pStyle w:val="Compact"/>
      </w:pPr>
      <w:r>
        <w:t xml:space="preserve">A replicable partnership model for industry-academia collaboration, directly supporting Saint Petersburg's "Digital Economy" strategy.</w:t>
      </w:r>
    </w:p>
    <w:p>
      <w:pPr>
        <w:numPr>
          <w:ilvl w:val="0"/>
          <w:numId w:val="1003"/>
        </w:numPr>
        <w:pStyle w:val="Compact"/>
      </w:pPr>
      <w:r>
        <w:t xml:space="preserve">Policy recommendations for the Russian Ministry of Science and Higher Education to integrate regional workforce data into national education planning.</w:t>
      </w:r>
    </w:p>
    <w:p>
      <w:pPr>
        <w:numPr>
          <w:ilvl w:val="0"/>
          <w:numId w:val="1003"/>
        </w:numPr>
        <w:pStyle w:val="Compact"/>
      </w:pPr>
      <w:r>
        <w:t xml:space="preserve">An open-access digital repository of Saint Petersburg-specific mechatronics case studies, enabling scalable adoption across other Russian industrial hubs (e.g., Kazan, Yekaterinburg).</w:t>
      </w:r>
    </w:p>
    <w:p>
      <w:pPr>
        <w:pStyle w:val="FirstParagraph"/>
      </w:pPr>
      <w:r>
        <w:t xml:space="preserve">The significance extends beyond academia: By producing job-ready Mechatronics Engineers who bridge the "automation skills gap," this work will directly support Saint Petersburg's goal to become Russia's primary center for advanced manufacturing. For instance, optimized training could accelerate the adoption of Industry 4.0 solutions at enterprises like Kirov Plant—potentially increasing their automation efficiency by 25% within a decade.</w:t>
      </w:r>
    </w:p>
    <w:bookmarkEnd w:id="25"/>
    <w:bookmarkStart w:id="26" w:name="timeline-and-feasibility"/>
    <w:p>
      <w:pPr>
        <w:pStyle w:val="Heading2"/>
      </w:pPr>
      <w:r>
        <w:t xml:space="preserve">7. Timeline and Feasibility</w:t>
      </w:r>
    </w:p>
    <w:p>
      <w:pPr>
        <w:pStyle w:val="FirstParagraph"/>
      </w:pPr>
      <w:r>
        <w:t xml:space="preserve">The research will be executed over 18 months (September 2024–December 2025) within Saint Petersburg's academic infrastructure:</w:t>
      </w:r>
    </w:p>
    <w:p>
      <w:pPr>
        <w:numPr>
          <w:ilvl w:val="0"/>
          <w:numId w:val="1004"/>
        </w:numPr>
        <w:pStyle w:val="Compact"/>
      </w:pPr>
      <w:r>
        <w:rPr>
          <w:bCs/>
          <w:b/>
        </w:rPr>
        <w:t xml:space="preserve">Months 1-3</w:t>
      </w:r>
      <w:r>
        <w:t xml:space="preserve">: Curriculum audits and industry stakeholder mapping.</w:t>
      </w:r>
    </w:p>
    <w:p>
      <w:pPr>
        <w:numPr>
          <w:ilvl w:val="0"/>
          <w:numId w:val="1004"/>
        </w:numPr>
        <w:pStyle w:val="Compact"/>
      </w:pPr>
      <w:r>
        <w:rPr>
          <w:bCs/>
          <w:b/>
        </w:rPr>
        <w:t xml:space="preserve">Months 4-9</w:t>
      </w:r>
      <w:r>
        <w:t xml:space="preserve">: Field data collection (surveys, interviews) across Saint Petersburg enterprises.</w:t>
      </w:r>
    </w:p>
    <w:p>
      <w:pPr>
        <w:numPr>
          <w:ilvl w:val="0"/>
          <w:numId w:val="1004"/>
        </w:numPr>
        <w:pStyle w:val="Compact"/>
      </w:pPr>
      <w:r>
        <w:rPr>
          <w:bCs/>
          <w:b/>
        </w:rPr>
        <w:t xml:space="preserve">Months 10-15</w:t>
      </w:r>
      <w:r>
        <w:t xml:space="preserve">: Curriculum co-design workshops and simulation modeling.</w:t>
      </w:r>
    </w:p>
    <w:p>
      <w:pPr>
        <w:numPr>
          <w:ilvl w:val="0"/>
          <w:numId w:val="1004"/>
        </w:numPr>
        <w:pStyle w:val="Compact"/>
      </w:pPr>
      <w:r>
        <w:rPr>
          <w:bCs/>
          <w:b/>
        </w:rPr>
        <w:t xml:space="preserve">Months 16-18</w:t>
      </w:r>
      <w:r>
        <w:t xml:space="preserve">: Validation with industry partners and thesis finalization.</w:t>
      </w:r>
    </w:p>
    <w:p>
      <w:pPr>
        <w:pStyle w:val="FirstParagraph"/>
      </w:pPr>
      <w:r>
        <w:t xml:space="preserve">Critical to feasibility is partnership support from Saint Petersburg's Department of Industry and Innovation, which has already endorsed preliminary discussions. All research aligns with the city's 2030 Strategic Plan for Technological Development, ensuring institutional buy-in.</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Mechatronics Engineer</w:t>
      </w:r>
      <w:r>
        <w:t xml:space="preserve"> </w:t>
      </w:r>
      <w:r>
        <w:t xml:space="preserve">in contemporary Russia is no longer merely technical—it is strategic to national industrial competitiveness. This</w:t>
      </w:r>
      <w:r>
        <w:t xml:space="preserve"> </w:t>
      </w:r>
      <w:r>
        <w:rPr>
          <w:bCs/>
          <w:b/>
        </w:rPr>
        <w:t xml:space="preserve">Thesis Proposal</w:t>
      </w:r>
      <w:r>
        <w:t xml:space="preserve"> </w:t>
      </w:r>
      <w:r>
        <w:t xml:space="preserve">establishes that addressing Saint Petersburg's mechatronics education gap through context-specific, industry-integrated solutions represents the most impactful path forward for both local economic development and Russia's broader technological ambitions. By embedding this research within Saint Petersburg's unique ecosystem—where engineering heritage meets digital transformation—the thesis will not only produce a rigorous academic contribution but also deliver actionable blueprints for a skilled workforce capable of driving Russia's industrial future. As Saint Petersburg positions itself as the "Silicon Valley of the North," this work ensures its mechatronics talent pipeline is engineered for success.</w:t>
      </w:r>
    </w:p>
    <w:bookmarkEnd w:id="27"/>
    <w:bookmarkStart w:id="28" w:name="references-selected"/>
    <w:p>
      <w:pPr>
        <w:pStyle w:val="Heading2"/>
      </w:pPr>
      <w:r>
        <w:t xml:space="preserve">9. References (Selected)</w:t>
      </w:r>
    </w:p>
    <w:p>
      <w:pPr>
        <w:pStyle w:val="FirstParagraph"/>
      </w:pPr>
      <w:r>
        <w:t xml:space="preserve">Rosstat. (2023). *Labor Market Report: High-Tech Engineering in Russia*. Moscow: Federal State Statistics Service.</w:t>
      </w:r>
      <w:r>
        <w:br/>
      </w:r>
      <w:r>
        <w:t xml:space="preserve">Saint Petersburg Department of Industry and Innovation. (2021). *Digital Economy Strategy 2030*. SPb.</w:t>
      </w:r>
      <w:r>
        <w:br/>
      </w:r>
      <w:r>
        <w:t xml:space="preserve">SPbPU. (2021). *Mechatronics Education Assessment Report*. St. Petersburg State Polytechnic University.</w:t>
      </w:r>
      <w:r>
        <w:br/>
      </w:r>
      <w:r>
        <w:t xml:space="preserve">IEEE Robotics and Automation Society. (2023). *Global Mechatronics Competency Framework*. New York.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and Industry Integration in Russia Saint Petersburg</dc:title>
  <dc:creator/>
  <dc:language>en</dc:language>
  <cp:keywords/>
  <dcterms:created xsi:type="dcterms:W3CDTF">2025-12-08T18:02:57Z</dcterms:created>
  <dcterms:modified xsi:type="dcterms:W3CDTF">2025-12-08T18:02:57Z</dcterms:modified>
</cp:coreProperties>
</file>

<file path=docProps/custom.xml><?xml version="1.0" encoding="utf-8"?>
<Properties xmlns="http://schemas.openxmlformats.org/officeDocument/2006/custom-properties" xmlns:vt="http://schemas.openxmlformats.org/officeDocument/2006/docPropsVTypes"/>
</file>