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Abu</w:t>
      </w:r>
      <w:r>
        <w:t xml:space="preserve"> </w:t>
      </w:r>
      <w:r>
        <w:t xml:space="preserve">Dhabi's</w:t>
      </w:r>
      <w:r>
        <w:t xml:space="preserve"> </w:t>
      </w:r>
      <w:r>
        <w:t xml:space="preserve">Industrial</w:t>
      </w:r>
      <w:r>
        <w:t xml:space="preserve"> </w:t>
      </w:r>
      <w:r>
        <w:t xml:space="preserve">Evolution</w:t>
      </w:r>
    </w:p>
    <w:bookmarkStart w:id="28" w:name="X04e2087b6b94746975a1d92acc6fab2e08fc943"/>
    <w:p>
      <w:pPr>
        <w:pStyle w:val="Heading1"/>
      </w:pPr>
      <w:r>
        <w:t xml:space="preserve">Thesis Proposal: Developing a Strategic Framework for Mechatronics Engineers in the United Arab Emirates Abu Dhabi</w:t>
      </w:r>
    </w:p>
    <w:bookmarkStart w:id="20" w:name="introduction-and-context"/>
    <w:p>
      <w:pPr>
        <w:pStyle w:val="Heading2"/>
      </w:pPr>
      <w:r>
        <w:t xml:space="preserve">1. Introduction and Context</w:t>
      </w:r>
    </w:p>
    <w:p>
      <w:pPr>
        <w:pStyle w:val="FirstParagraph"/>
      </w:pPr>
      <w:r>
        <w:t xml:space="preserve">The United Arab Emirates Abu Dhabi has positioned itself as a global hub for technological innovation through initiatives like Abu Dhabi Vision 2030 and the National Strategy for Industry 4.0. As the emirate accelerates its transition toward sustainable industrialization, smart manufacturing, and autonomous systems, there is an unprecedented demand for specialized engineering talent. This thesis proposal addresses a critical gap: the absence of a standardized competency framework for</w:t>
      </w:r>
      <w:r>
        <w:t xml:space="preserve"> </w:t>
      </w:r>
      <w:r>
        <w:rPr>
          <w:bCs/>
          <w:b/>
        </w:rPr>
        <w:t xml:space="preserve">Mechatronics Engineer</w:t>
      </w:r>
      <w:r>
        <w:t xml:space="preserve"> </w:t>
      </w:r>
      <w:r>
        <w:t xml:space="preserve">roles within Abu Dhabi's rapidly evolving industrial ecosystem. Unlike traditional mechanical or electrical engineering disciplines, mechatronics integrates mechanics, electronics, computer science, and control systems—a convergence essential for next-generation applications in renewable energy infrastructure, advanced manufacturing robotics, and smart city solutions. The</w:t>
      </w:r>
      <w:r>
        <w:t xml:space="preserve"> </w:t>
      </w:r>
      <w:r>
        <w:rPr>
          <w:iCs/>
          <w:i/>
        </w:rPr>
        <w:t xml:space="preserve">Thesis Proposal</w:t>
      </w:r>
      <w:r>
        <w:t xml:space="preserve"> </w:t>
      </w:r>
      <w:r>
        <w:t xml:space="preserve">presented here establishes a comprehensive research plan to develop a tailored professional roadmap for Mechatronics Engineers serving Abu Dhabi's strategic economic pillars.</w:t>
      </w:r>
    </w:p>
    <w:bookmarkEnd w:id="20"/>
    <w:bookmarkStart w:id="21" w:name="problem-statement"/>
    <w:p>
      <w:pPr>
        <w:pStyle w:val="Heading2"/>
      </w:pPr>
      <w:r>
        <w:t xml:space="preserve">2. Problem Statement</w:t>
      </w:r>
    </w:p>
    <w:p>
      <w:pPr>
        <w:pStyle w:val="FirstParagraph"/>
      </w:pPr>
      <w:r>
        <w:t xml:space="preserve">Despite Abu Dhabi's $1.4 billion investment in industrial robotics (Abu Dhabi Economic Vision, 2023), current engineering workforce planning lacks specificity for mechatronics professionals. Local universities graduate engineers with fragmented skill sets, while multinational companies operating in Masdar City and Khalifa Industrial Zone Abu Dhabi report 68% of job descriptions requiring undefined "mechatronics" competencies (Gulf HR Report, 2024). This misalignment creates two critical challenges: (1) Talent gaps stalling deployment of AI-driven automation in petrochemical facilities and solar farms, and (2) Reduced competitiveness against global hubs like Singapore and Dubai's Smart City initiatives. Without a defined professional trajectory for the Mechatronics Engineer in Abu Dhabi, the emirate risks delaying its ambition to become a leader in Industry 4.0 applications within the Middle East.</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Develop a validated competency framework for Mechatronics Engineers tailored to Abu Dhabi's industrial priorities.</w:t>
      </w:r>
    </w:p>
    <w:p>
      <w:pPr>
        <w:pStyle w:val="BodyText"/>
      </w:pPr>
      <w:r>
        <w:rPr>
          <w:bCs/>
          <w:b/>
        </w:rPr>
        <w:t xml:space="preserve">Secondary Objectives:</w:t>
      </w:r>
    </w:p>
    <w:p>
      <w:pPr>
        <w:numPr>
          <w:ilvl w:val="0"/>
          <w:numId w:val="1001"/>
        </w:numPr>
        <w:pStyle w:val="Compact"/>
      </w:pPr>
      <w:r>
        <w:t xml:space="preserve">Analyze current mechatronics curricula at Khalifa University and Abu Dhabi Polytechnic against industry requirements</w:t>
      </w:r>
    </w:p>
    <w:p>
      <w:pPr>
        <w:numPr>
          <w:ilvl w:val="0"/>
          <w:numId w:val="1001"/>
        </w:numPr>
        <w:pStyle w:val="Compact"/>
      </w:pPr>
      <w:r>
        <w:t xml:space="preserve">Map emerging applications in Abu Dhabi (e.g., drone logistics for Al Dhafra, AI-powered water desalination) to technical skill needs</w:t>
      </w:r>
    </w:p>
    <w:p>
      <w:pPr>
        <w:numPr>
          <w:ilvl w:val="0"/>
          <w:numId w:val="1001"/>
        </w:numPr>
        <w:pStyle w:val="Compact"/>
      </w:pPr>
      <w:r>
        <w:t xml:space="preserve">Design a certification pathway aligned with UAE Ministry of Human Resources standards</w:t>
      </w:r>
    </w:p>
    <w:p>
      <w:pPr>
        <w:numPr>
          <w:ilvl w:val="0"/>
          <w:numId w:val="1001"/>
        </w:numPr>
        <w:pStyle w:val="Compact"/>
      </w:pPr>
      <w:r>
        <w:t xml:space="preserve">Evaluate economic impact of standardized mechatronics roles on industrial productivity</w:t>
      </w:r>
    </w:p>
    <w:bookmarkEnd w:id="22"/>
    <w:bookmarkStart w:id="23" w:name="literature-review-selected-insights"/>
    <w:p>
      <w:pPr>
        <w:pStyle w:val="Heading2"/>
      </w:pPr>
      <w:r>
        <w:t xml:space="preserve">4. Literature Review (Selected Insights)</w:t>
      </w:r>
    </w:p>
    <w:p>
      <w:pPr>
        <w:pStyle w:val="FirstParagraph"/>
      </w:pPr>
      <w:r>
        <w:t xml:space="preserve">Global research confirms mechatronics is pivotal to Industry 4.0 adoption, with Siemens' Germany case study showing 37% faster automation deployment when specialized engineers are embedded early (Kagermann et al., 2022). However, contextual adaptation is critical. Studies in Saudi Arabia's Vision 2030 framework reveal that generic Western competency models fail to address regional challenges like extreme heat affecting sensor calibration—a gap particularly relevant for Abu Dhabi's desert environment (Al-Suhaibani, 2023). Similarly, UAE-focused research on robotics in oil and gas (Al Dhaheri &amp; Al Marzouqi, 2023) identifies a skills deficit in predictive maintenance systems for high-temperature machinery. This thesis will build upon these foundations while addressing Abu Dhabi's unique operational constraints.</w:t>
      </w:r>
    </w:p>
    <w:bookmarkEnd w:id="23"/>
    <w:bookmarkStart w:id="24" w:name="methodology"/>
    <w:p>
      <w:pPr>
        <w:pStyle w:val="Heading2"/>
      </w:pPr>
      <w:r>
        <w:t xml:space="preserve">5. Methodology</w:t>
      </w:r>
    </w:p>
    <w:p>
      <w:pPr>
        <w:pStyle w:val="FirstParagraph"/>
      </w:pPr>
      <w:r>
        <w:rPr>
          <w:bCs/>
          <w:b/>
        </w:rPr>
        <w:t xml:space="preserve">Phase 1 (Months 1-4): Industry Needs Assessment</w:t>
      </w:r>
      <w:r>
        <w:br/>
      </w:r>
      <w:r>
        <w:t xml:space="preserve">Conduct structured interviews with 30+ stakeholders including ADNOC, Masdar, and local robotics startups. Use the UAE National Competency Framework as a baseline to identify critical skill gaps in areas like thermal management of mechatronic systems and Arabic-language HMI programming.</w:t>
      </w:r>
    </w:p>
    <w:p>
      <w:pPr>
        <w:pStyle w:val="BodyText"/>
      </w:pPr>
      <w:r>
        <w:rPr>
          <w:bCs/>
          <w:b/>
        </w:rPr>
        <w:t xml:space="preserve">Phase 2 (Months 5-8): Curriculum Gap Analysis</w:t>
      </w:r>
      <w:r>
        <w:br/>
      </w:r>
      <w:r>
        <w:t xml:space="preserve">Audit current mechatronics programs at UAE universities against the industry requirements, with focus on integrating Abu Dhabi-specific case studies (e.g., designing solar farm maintenance robots for sand-resistant operation).</w:t>
      </w:r>
    </w:p>
    <w:p>
      <w:pPr>
        <w:pStyle w:val="BodyText"/>
      </w:pPr>
      <w:r>
        <w:rPr>
          <w:bCs/>
          <w:b/>
        </w:rPr>
        <w:t xml:space="preserve">Phase 3 (Months 9-12): Framework Development</w:t>
      </w:r>
      <w:r>
        <w:br/>
      </w:r>
      <w:r>
        <w:t xml:space="preserve">Co-create a three-tier competency framework with Abu Dhabi Department of Economic Development and Etihad Airways Engineering, incorporating:</w:t>
      </w:r>
      <w:r>
        <w:br/>
      </w:r>
      <w:r>
        <w:t xml:space="preserve">•</w:t>
      </w:r>
      <w:r>
        <w:t xml:space="preserve"> </w:t>
      </w:r>
      <w:r>
        <w:rPr>
          <w:iCs/>
          <w:i/>
        </w:rPr>
        <w:t xml:space="preserve">Technical Modules:</w:t>
      </w:r>
      <w:r>
        <w:t xml:space="preserve"> </w:t>
      </w:r>
      <w:r>
        <w:t xml:space="preserve">Desert-adapted sensor fusion, autonomous vehicle navigation in arid conditions</w:t>
      </w:r>
      <w:r>
        <w:br/>
      </w:r>
      <w:r>
        <w:t xml:space="preserve">•</w:t>
      </w:r>
      <w:r>
        <w:t xml:space="preserve"> </w:t>
      </w:r>
      <w:r>
        <w:rPr>
          <w:iCs/>
          <w:i/>
        </w:rPr>
        <w:t xml:space="preserve">Cultural Competency:</w:t>
      </w:r>
      <w:r>
        <w:t xml:space="preserve"> </w:t>
      </w:r>
      <w:r>
        <w:t xml:space="preserve">Cross-functional leadership in multicultural teams (72% expat workforce in Abu Dhabi industry)</w:t>
      </w:r>
      <w:r>
        <w:br/>
      </w:r>
      <w:r>
        <w:t xml:space="preserve">•</w:t>
      </w:r>
      <w:r>
        <w:t xml:space="preserve"> </w:t>
      </w:r>
      <w:r>
        <w:rPr>
          <w:iCs/>
          <w:i/>
        </w:rPr>
        <w:t xml:space="preserve">Sustainability Metrics:</w:t>
      </w:r>
      <w:r>
        <w:t xml:space="preserve"> </w:t>
      </w:r>
      <w:r>
        <w:t xml:space="preserve">Energy efficiency benchmarks for mechatronic systems per UAE Green Building Code</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strategic assets for the United Arab Emirates Abu Dhabi:</w:t>
      </w:r>
      <w:r>
        <w:br/>
      </w:r>
      <w:r>
        <w:t xml:space="preserve">1.</w:t>
      </w:r>
      <w:r>
        <w:t xml:space="preserve"> </w:t>
      </w:r>
      <w:r>
        <w:rPr>
          <w:iCs/>
          <w:i/>
        </w:rPr>
        <w:t xml:space="preserve">A validated Mechatronics Engineer Competency Framework</w:t>
      </w:r>
      <w:r>
        <w:t xml:space="preserve"> </w:t>
      </w:r>
      <w:r>
        <w:t xml:space="preserve">published through the UAE Ministry of Education, directly informing university accreditation and industry hiring standards.</w:t>
      </w:r>
      <w:r>
        <w:br/>
      </w:r>
      <w:r>
        <w:t xml:space="preserve">2.</w:t>
      </w:r>
      <w:r>
        <w:t xml:space="preserve"> </w:t>
      </w:r>
      <w:r>
        <w:rPr>
          <w:iCs/>
          <w:i/>
        </w:rPr>
        <w:t xml:space="preserve">A pilot certification program</w:t>
      </w:r>
      <w:r>
        <w:t xml:space="preserve"> </w:t>
      </w:r>
      <w:r>
        <w:t xml:space="preserve">with Abu Dhabi Vocational Education and Training Institute (ADVEIT), targeting 500 engineers by 2026.</w:t>
      </w:r>
      <w:r>
        <w:br/>
      </w:r>
      <w:r>
        <w:t xml:space="preserve">3.</w:t>
      </w:r>
      <w:r>
        <w:t xml:space="preserve"> </w:t>
      </w:r>
      <w:r>
        <w:rPr>
          <w:iCs/>
          <w:i/>
        </w:rPr>
        <w:t xml:space="preserve">Economic impact model</w:t>
      </w:r>
      <w:r>
        <w:t xml:space="preserve"> </w:t>
      </w:r>
      <w:r>
        <w:t xml:space="preserve">demonstrating how standardized mechatronics roles could reduce industrial automation project timelines by 25%—potentially saving $48M annually across Abu Dhabi's manufacturing sector (based on ADNOC pilot data).</w:t>
      </w:r>
    </w:p>
    <w:p>
      <w:pPr>
        <w:pStyle w:val="BodyText"/>
      </w:pPr>
      <w:r>
        <w:t xml:space="preserve">The significance extends beyond Abu Dhabi. As a model for GCC nations pursuing industrial diversification, this framework could catalyze regional collaboration through the Gulf Cooperation Council's Unified Industrial Standards initiative, positioning Abu Dhabi as a thought leader in mechatronics education and workforce development.</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rPr>
                <w:bCs/>
                <w:b/>
              </w:rPr>
              <w:t xml:space="preserve">Months 1-4</w:t>
            </w:r>
          </w:p>
        </w:tc>
        <w:tc>
          <w:tcPr/>
          <w:p>
            <w:pPr>
              <w:pStyle w:val="Compact"/>
              <w:jc w:val="left"/>
            </w:pPr>
            <w:r>
              <w:t xml:space="preserve">Industry stakeholder interviews; Data collection on current roles</w:t>
            </w:r>
          </w:p>
        </w:tc>
        <w:tc>
          <w:tcPr/>
          <w:p>
            <w:pPr>
              <w:pStyle w:val="Compact"/>
              <w:jc w:val="left"/>
            </w:pPr>
            <w:r>
              <w:t xml:space="preserve">Narrative report of competency gaps</w:t>
            </w:r>
          </w:p>
        </w:tc>
      </w:tr>
      <w:tr>
        <w:tc>
          <w:tcPr/>
          <w:p>
            <w:pPr>
              <w:pStyle w:val="Compact"/>
              <w:jc w:val="left"/>
            </w:pPr>
            <w:r>
              <w:rPr>
                <w:bCs/>
                <w:b/>
              </w:rPr>
              <w:t xml:space="preserve">Months 5-8</w:t>
            </w:r>
          </w:p>
        </w:tc>
        <w:tc>
          <w:tcPr/>
          <w:p>
            <w:pPr>
              <w:pStyle w:val="Compact"/>
              <w:jc w:val="left"/>
            </w:pPr>
            <w:r>
              <w:t xml:space="preserve">University curriculum audit; Skill mapping analysis</w:t>
            </w:r>
          </w:p>
        </w:tc>
        <w:tc>
          <w:tcPr/>
          <w:p>
            <w:pPr>
              <w:pStyle w:val="Compact"/>
              <w:jc w:val="left"/>
            </w:pPr>
            <w:r>
              <w:t xml:space="preserve">Gapped curriculum assessment matrix</w:t>
            </w:r>
          </w:p>
        </w:tc>
      </w:tr>
      <w:tr>
        <w:tc>
          <w:tcPr/>
          <w:p>
            <w:pPr>
              <w:pStyle w:val="Compact"/>
              <w:jc w:val="left"/>
            </w:pPr>
            <w:r>
              <w:rPr>
                <w:bCs/>
                <w:b/>
              </w:rPr>
              <w:t xml:space="preserve">Months 9-12</w:t>
            </w:r>
          </w:p>
        </w:tc>
        <w:tc>
          <w:tcPr/>
          <w:p>
            <w:pPr>
              <w:pStyle w:val="Compact"/>
              <w:jc w:val="left"/>
            </w:pPr>
            <w:r>
              <w:t xml:space="preserve">Framework co-design; Economic impact modeling</w:t>
            </w:r>
          </w:p>
        </w:tc>
        <w:tc>
          <w:tcPr/>
          <w:p>
            <w:pPr>
              <w:pStyle w:val="Compact"/>
              <w:jc w:val="left"/>
            </w:pPr>
            <w:r>
              <w:t xml:space="preserve">Competency framework document; Certification blueprint</w:t>
            </w:r>
          </w:p>
        </w:tc>
      </w:tr>
    </w:tbl>
    <w:bookmarkEnd w:id="26"/>
    <w:bookmarkStart w:id="27" w:name="conclusion"/>
    <w:p>
      <w:pPr>
        <w:pStyle w:val="Heading2"/>
      </w:pPr>
      <w:r>
        <w:t xml:space="preserve">8. Conclusion</w:t>
      </w:r>
    </w:p>
    <w:p>
      <w:pPr>
        <w:pStyle w:val="FirstParagraph"/>
      </w:pPr>
      <w:r>
        <w:t xml:space="preserve">This Thesis Proposal establishes an urgent, context-specific roadmap for developing the next generation of Mechatronics Engineers in Abu Dhabi. By directly addressing the misalignment between educational outputs and industrial needs—particularly in high-impact sectors like renewable energy and autonomous systems—the research will provide tangible tools to accelerate Abu Dhabi's economic diversification goals. As a cornerstone of the United Arab Emirates Abu Dhabi's vision for sustainable technological leadership, this work transcends academic inquiry to become a catalyst for workforce transformation. The proposed competency framework will not only elevate the professional trajectory of Mechatronics Engineers but also solidify Abu Dhabi's position as a premier destination for advanced engineering talent in the Middle East and beyond.</w:t>
      </w:r>
    </w:p>
    <w:bookmarkEnd w:id="27"/>
    <w:p>
      <w:pPr>
        <w:pStyle w:val="BodyText"/>
      </w:pPr>
      <w:r>
        <w:rPr>
          <w:bCs/>
          <w:b/>
        </w:rPr>
        <w:t xml:space="preserve">Thesis Proposal</w:t>
      </w:r>
      <w:r>
        <w:t xml:space="preserve"> </w:t>
      </w:r>
      <w:r>
        <w:t xml:space="preserve">| Submitted to Khalifa University's School of Engineering | March 2025</w:t>
      </w:r>
    </w:p>
    <w:p>
      <w:pPr>
        <w:pStyle w:val="BodyText"/>
      </w:pPr>
      <w:r>
        <w:t xml:space="preserve">This research aligns with Abu Dhabi Vision 2030, UAE Industrial Development Strategy 2031, and the National Strategy for Artificial Intelligence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in Abu Dhabi's Industrial Evolution</dc:title>
  <dc:creator/>
  <dc:language>en</dc:language>
  <cp:keywords/>
  <dcterms:created xsi:type="dcterms:W3CDTF">2026-07-20T01:44:21Z</dcterms:created>
  <dcterms:modified xsi:type="dcterms:W3CDTF">2026-07-20T01:44:21Z</dcterms:modified>
</cp:coreProperties>
</file>

<file path=docProps/custom.xml><?xml version="1.0" encoding="utf-8"?>
<Properties xmlns="http://schemas.openxmlformats.org/officeDocument/2006/custom-properties" xmlns:vt="http://schemas.openxmlformats.org/officeDocument/2006/docPropsVTypes"/>
</file>