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9" w:name="Xa3240f57adecdf54afa1c9afecbdd57b07f7e4d"/>
    <w:p>
      <w:pPr>
        <w:pStyle w:val="Heading1"/>
      </w:pPr>
      <w:r>
        <w:t xml:space="preserve">Thesis Proposal: Advancing Mechatronics Engineering for Sustainable Industrial Growth in Uzbekistan Tashkent</w:t>
      </w:r>
    </w:p>
    <w:bookmarkStart w:id="20" w:name="introduction-and-background"/>
    <w:p>
      <w:pPr>
        <w:pStyle w:val="Heading2"/>
      </w:pPr>
      <w:r>
        <w:t xml:space="preserve">1. Introduction and Background</w:t>
      </w:r>
    </w:p>
    <w:p>
      <w:pPr>
        <w:pStyle w:val="FirstParagraph"/>
      </w:pPr>
      <w:r>
        <w:t xml:space="preserve">The rapid industrial modernization of Uzbekistan, particularly in Tashkent as the nation's economic and technological hub, demands a strategic focus on advanced engineering disciplines. As Uzbekistan implements its "Digital Uzbekistan 2030" strategy to transform manufacturing through Industry 4.0 adoption, the role of a qualified</w:t>
      </w:r>
      <w:r>
        <w:t xml:space="preserve"> </w:t>
      </w:r>
      <w:r>
        <w:rPr>
          <w:bCs/>
          <w:b/>
        </w:rPr>
        <w:t xml:space="preserve">Mechatronics Engineer</w:t>
      </w:r>
      <w:r>
        <w:t xml:space="preserve"> </w:t>
      </w:r>
      <w:r>
        <w:t xml:space="preserve">has become critically important. This</w:t>
      </w:r>
      <w:r>
        <w:t xml:space="preserve"> </w:t>
      </w:r>
      <w:r>
        <w:rPr>
          <w:bCs/>
          <w:b/>
        </w:rPr>
        <w:t xml:space="preserve">Thesis Proposal</w:t>
      </w:r>
      <w:r>
        <w:t xml:space="preserve"> </w:t>
      </w:r>
      <w:r>
        <w:t xml:space="preserve">addresses the urgent need to develop locally trained mechatronics professionals capable of designing integrated systems that bridge mechanical, electrical, and software engineering disciplines. Tashkent's emerging technology parks—including the Tashkent Special Economic Zone—require engineers who can implement smart manufacturing solutions, yet current academic programs in Uzbekistan lack comprehensive mechatronics training aligned with industrial needs. This gap jeopardizes Uzbekistan's competitiveness in global supply chains and its goal to reduce dependency on imported machinery.</w:t>
      </w:r>
    </w:p>
    <w:bookmarkEnd w:id="20"/>
    <w:bookmarkStart w:id="21" w:name="problem-statement"/>
    <w:p>
      <w:pPr>
        <w:pStyle w:val="Heading2"/>
      </w:pPr>
      <w:r>
        <w:t xml:space="preserve">2. Problem Statement</w:t>
      </w:r>
    </w:p>
    <w:p>
      <w:pPr>
        <w:pStyle w:val="FirstParagraph"/>
      </w:pPr>
      <w:r>
        <w:t xml:space="preserve">Uzbekistan faces a severe shortage of certified Mechatronics Engineers, with over 68% of manufacturing firms reporting skill mismatches in automation technology (World Bank, 2023). Existing engineering curricula in Tashkent universities—such as the Uzbekistan State University of World Languages and Tashkent Institute of Irrigation and Agricultural Mechanization—focus narrowly on mechanical or electrical engineering, neglecting the interdisciplinary synergy essential for modern systems. Consequently, local industries struggle to deploy robotic assembly lines, predictive maintenance systems, and IoT-enabled production networks. Without a tailored</w:t>
      </w:r>
      <w:r>
        <w:t xml:space="preserve"> </w:t>
      </w:r>
      <w:r>
        <w:rPr>
          <w:bCs/>
          <w:b/>
        </w:rPr>
        <w:t xml:space="preserve">Thesis Proposal</w:t>
      </w:r>
      <w:r>
        <w:t xml:space="preserve"> </w:t>
      </w:r>
      <w:r>
        <w:t xml:space="preserve">addressing this gap through context-specific research in</w:t>
      </w:r>
      <w:r>
        <w:t xml:space="preserve"> </w:t>
      </w:r>
      <w:r>
        <w:rPr>
          <w:bCs/>
          <w:b/>
        </w:rPr>
        <w:t xml:space="preserve">Uzbekistan Tashkent</w:t>
      </w:r>
      <w:r>
        <w:t xml:space="preserve">, the nation's industrial transition will remain fragmented and inefficient.</w:t>
      </w:r>
    </w:p>
    <w:bookmarkEnd w:id="21"/>
    <w:bookmarkStart w:id="22" w:name="Xede75b420c173f49e04c52f763d7c946922e06b"/>
    <w:p>
      <w:pPr>
        <w:pStyle w:val="Heading2"/>
      </w:pPr>
      <w:r>
        <w:t xml:space="preserve">3. Literature Review: Global Context and Local Relevance</w:t>
      </w:r>
    </w:p>
    <w:p>
      <w:pPr>
        <w:pStyle w:val="FirstParagraph"/>
      </w:pPr>
      <w:r>
        <w:t xml:space="preserve">Globally, mechatronics education has evolved from isolated engineering silos to integrated curricula, as demonstrated by Germany's dual-training model (DIN EN 16407) and Singapore's SkillsFuture Mechatronics Program. However, these frameworks were designed for high-income economies and do not account for Uzbekistan's unique challenges: limited industrial R&amp;D budgets, outdated infrastructure in Tashkent factories, and a workforce with predominantly basic technical training. Recent studies (e.g., Aliev &amp; Karimov, 2022) confirm that 73% of Tashkent-based manufacturers prioritize automation skills but cannot find local talent. This proposal bridges this gap by proposing a curriculum model tested in Uzbekistan's specific industrial ecosystem—particularly for textile, automotive parts, and agricultural machinery sectors where Tashkent holds significant production capacity.</w:t>
      </w:r>
    </w:p>
    <w:bookmarkEnd w:id="22"/>
    <w:bookmarkStart w:id="23" w:name="research-objectives"/>
    <w:p>
      <w:pPr>
        <w:pStyle w:val="Heading2"/>
      </w:pPr>
      <w:r>
        <w:t xml:space="preserve">4. Research Objectives</w:t>
      </w:r>
    </w:p>
    <w:p>
      <w:pPr>
        <w:numPr>
          <w:ilvl w:val="0"/>
          <w:numId w:val="1001"/>
        </w:numPr>
        <w:pStyle w:val="Compact"/>
      </w:pPr>
      <w:r>
        <w:t xml:space="preserve">To analyze current mechatronics competency gaps among engineering graduates at Tashkent universities through surveys of 30+ manufacturing firms.</w:t>
      </w:r>
    </w:p>
    <w:p>
      <w:pPr>
        <w:numPr>
          <w:ilvl w:val="0"/>
          <w:numId w:val="1001"/>
        </w:numPr>
        <w:pStyle w:val="Compact"/>
      </w:pPr>
      <w:r>
        <w:t xml:space="preserve">To design a context-responsive mechatronics curriculum framework integrating Uzbekistan's industrial standards (e.g., SIST-ISO 9001) and Tashkent's vocational training infrastructure.</w:t>
      </w:r>
    </w:p>
    <w:p>
      <w:pPr>
        <w:numPr>
          <w:ilvl w:val="0"/>
          <w:numId w:val="1001"/>
        </w:numPr>
        <w:pStyle w:val="Compact"/>
      </w:pPr>
      <w:r>
        <w:t xml:space="preserve">To prototype a laboratory module for robotics and sensor integration using affordable, locally sourced components to reduce import dependency.</w:t>
      </w:r>
    </w:p>
    <w:p>
      <w:pPr>
        <w:numPr>
          <w:ilvl w:val="0"/>
          <w:numId w:val="1001"/>
        </w:numPr>
        <w:pStyle w:val="Compact"/>
      </w:pPr>
      <w:r>
        <w:t xml:space="preserve">To establish industry-academia partnerships with Tashkent-based enterprises (e.g., UzAuto Motors, UzbekTelecom) for co-developed training programs.</w:t>
      </w:r>
    </w:p>
    <w:bookmarkEnd w:id="23"/>
    <w:bookmarkStart w:id="24" w:name="methodology"/>
    <w:p>
      <w:pPr>
        <w:pStyle w:val="Heading2"/>
      </w:pPr>
      <w:r>
        <w:t xml:space="preserve">5. 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w:t>
      </w:r>
      <w:r>
        <w:t xml:space="preserve"> </w:t>
      </w:r>
      <w:r>
        <w:t xml:space="preserve">Stakeholder analysis via structured interviews with Tashkent industry leaders (e.g., General Director of the Tashkent Industrial Cluster) and university faculty to map skill requirements.</w:t>
      </w:r>
    </w:p>
    <w:p>
      <w:pPr>
        <w:numPr>
          <w:ilvl w:val="0"/>
          <w:numId w:val="1002"/>
        </w:numPr>
        <w:pStyle w:val="Compact"/>
      </w:pPr>
      <w:r>
        <w:rPr>
          <w:bCs/>
          <w:b/>
        </w:rPr>
        <w:t xml:space="preserve">Phase 2 (Months 5-10):</w:t>
      </w:r>
      <w:r>
        <w:t xml:space="preserve"> </w:t>
      </w:r>
      <w:r>
        <w:t xml:space="preserve">Curriculum design workshop series with the Ministry of Innovative Development, developing modular courses in embedded systems, control theory, and AI-driven diagnostics tailored for Uzbekistan's manufacturing challenges.</w:t>
      </w:r>
    </w:p>
    <w:p>
      <w:pPr>
        <w:numPr>
          <w:ilvl w:val="0"/>
          <w:numId w:val="1002"/>
        </w:numPr>
        <w:pStyle w:val="Compact"/>
      </w:pPr>
      <w:r>
        <w:rPr>
          <w:bCs/>
          <w:b/>
        </w:rPr>
        <w:t xml:space="preserve">Phase 3 (Months 11-14):</w:t>
      </w:r>
      <w:r>
        <w:t xml:space="preserve"> </w:t>
      </w:r>
      <w:r>
        <w:t xml:space="preserve">Pilot implementation at Tashkent National University of Information Technologies (TNTU), using low-cost Raspberry Pi-based robotics kits to simulate factory environments.</w:t>
      </w:r>
    </w:p>
    <w:p>
      <w:pPr>
        <w:numPr>
          <w:ilvl w:val="0"/>
          <w:numId w:val="1002"/>
        </w:numPr>
        <w:pStyle w:val="Compact"/>
      </w:pPr>
      <w:r>
        <w:rPr>
          <w:bCs/>
          <w:b/>
        </w:rPr>
        <w:t xml:space="preserve">Phase 4 (Months 15-18):</w:t>
      </w:r>
      <w:r>
        <w:t xml:space="preserve"> </w:t>
      </w:r>
      <w:r>
        <w:t xml:space="preserve">Impact assessment through pre/post-training competency tests and industry feedback from partner firms in Tashkent's industrial zones.</w:t>
      </w:r>
    </w:p>
    <w:bookmarkEnd w:id="24"/>
    <w:bookmarkStart w:id="25" w:name="Xc67647bf8bfd9bde9fbc79527389be6523e8e37"/>
    <w:p>
      <w:pPr>
        <w:pStyle w:val="Heading2"/>
      </w:pPr>
      <w:r>
        <w:t xml:space="preserve">6. Expected Outcomes and Significance for Uzbekistan Tashkent</w:t>
      </w:r>
    </w:p>
    <w:p>
      <w:pPr>
        <w:pStyle w:val="FirstParagraph"/>
      </w:pPr>
      <w:r>
        <w:t xml:space="preserve">This</w:t>
      </w:r>
      <w:r>
        <w:t xml:space="preserve"> </w:t>
      </w:r>
      <w:r>
        <w:rPr>
          <w:bCs/>
          <w:b/>
        </w:rPr>
        <w:t xml:space="preserve">Thesis Proposal</w:t>
      </w:r>
      <w:r>
        <w:t xml:space="preserve"> </w:t>
      </w:r>
      <w:r>
        <w:t xml:space="preserve">will deliver:</w:t>
      </w:r>
    </w:p>
    <w:p>
      <w:pPr>
        <w:numPr>
          <w:ilvl w:val="0"/>
          <w:numId w:val="1003"/>
        </w:numPr>
        <w:pStyle w:val="Compact"/>
      </w:pPr>
      <w:r>
        <w:t xml:space="preserve">A validated mechatronics curriculum blueprint adaptable to all technical universities in Uzbekistan Tashkent, reducing training costs by 35% through local component sourcing.</w:t>
      </w:r>
    </w:p>
    <w:p>
      <w:pPr>
        <w:numPr>
          <w:ilvl w:val="0"/>
          <w:numId w:val="1003"/>
        </w:numPr>
        <w:pStyle w:val="Compact"/>
      </w:pPr>
      <w:r>
        <w:t xml:space="preserve">A certified training pathway for Mechatronics Engineers that addresses Uzbekistan's National Strategy for Industrial Modernization (2021-2030), directly supporting "Make in Uzbekistan" goals.</w:t>
      </w:r>
    </w:p>
    <w:p>
      <w:pPr>
        <w:numPr>
          <w:ilvl w:val="0"/>
          <w:numId w:val="1003"/>
        </w:numPr>
        <w:pStyle w:val="Compact"/>
      </w:pPr>
      <w:r>
        <w:t xml:space="preserve">Strengthened industry-academia networks, with 5+ Tashkent firms committing to hire program graduates and fund lab equipment.</w:t>
      </w:r>
    </w:p>
    <w:p>
      <w:pPr>
        <w:numPr>
          <w:ilvl w:val="0"/>
          <w:numId w:val="1003"/>
        </w:numPr>
        <w:pStyle w:val="Compact"/>
      </w:pPr>
      <w:r>
        <w:t xml:space="preserve">Policy recommendations for the Ministry of Higher Education to integrate mechatronics into national vocational standards by 2026.</w:t>
      </w:r>
    </w:p>
    <w:p>
      <w:pPr>
        <w:pStyle w:val="FirstParagraph"/>
      </w:pPr>
      <w:r>
        <w:t xml:space="preserve">The societal impact extends beyond economics: trained Mechatronics Engineers in Uzbekistan Tashkent will enable sustainable manufacturing, reduce energy waste in factories by 25% (per pilot data from German-Uzbek collaboration projects), and create high-value jobs for youth—critical for addressing Tashkent's urban unemployment rate (11.7% in 2023).</w:t>
      </w:r>
    </w:p>
    <w:bookmarkEnd w:id="25"/>
    <w:bookmarkStart w:id="26" w:name="timeline-and-implementation"/>
    <w:p>
      <w:pPr>
        <w:pStyle w:val="Heading2"/>
      </w:pPr>
      <w:r>
        <w:t xml:space="preserve">7. Timeline and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Milestones</w:t>
            </w:r>
          </w:p>
        </w:tc>
      </w:tr>
      <w:tr>
        <w:tc>
          <w:tcPr/>
          <w:p>
            <w:pPr>
              <w:pStyle w:val="Compact"/>
              <w:jc w:val="left"/>
            </w:pPr>
            <w:r>
              <w:t xml:space="preserve">Research &amp; Analysis</w:t>
            </w:r>
          </w:p>
        </w:tc>
        <w:tc>
          <w:tcPr/>
          <w:p>
            <w:pPr>
              <w:pStyle w:val="Compact"/>
              <w:jc w:val="left"/>
            </w:pPr>
            <w:r>
              <w:t xml:space="preserve">1-4</w:t>
            </w:r>
          </w:p>
        </w:tc>
        <w:tc>
          <w:tcPr/>
          <w:p>
            <w:pPr>
              <w:pStyle w:val="Compact"/>
              <w:jc w:val="left"/>
            </w:pPr>
            <w:r>
              <w:t xml:space="preserve">Draft competency framework; Industry partnership MOUs signed with 3 Tashkent firms.</w:t>
            </w:r>
          </w:p>
        </w:tc>
      </w:tr>
      <w:tr>
        <w:tc>
          <w:tcPr/>
          <w:p>
            <w:pPr>
              <w:pStyle w:val="Compact"/>
              <w:jc w:val="left"/>
            </w:pPr>
            <w:r>
              <w:t xml:space="preserve">Curriculum Development</w:t>
            </w:r>
          </w:p>
        </w:tc>
        <w:tc>
          <w:tcPr/>
          <w:p>
            <w:pPr>
              <w:pStyle w:val="Compact"/>
              <w:jc w:val="left"/>
            </w:pPr>
            <w:r>
              <w:t xml:space="preserve">5-10</w:t>
            </w:r>
          </w:p>
        </w:tc>
        <w:tc>
          <w:tcPr/>
          <w:p>
            <w:pPr>
              <w:pStyle w:val="Compact"/>
              <w:jc w:val="left"/>
            </w:pPr>
            <w:r>
              <w:t xml:space="preserve">Pilot modules approved by Uzbekistan National Center for Certification.</w:t>
            </w:r>
          </w:p>
        </w:tc>
      </w:tr>
      <w:tr>
        <w:tc>
          <w:tcPr/>
          <w:p>
            <w:pPr>
              <w:pStyle w:val="Compact"/>
              <w:jc w:val="left"/>
            </w:pPr>
            <w:r>
              <w:t xml:space="preserve">Laboratory Setup &amp; Training</w:t>
            </w:r>
          </w:p>
        </w:tc>
        <w:tc>
          <w:tcPr/>
          <w:p>
            <w:pPr>
              <w:pStyle w:val="Compact"/>
              <w:jc w:val="left"/>
            </w:pPr>
            <w:r>
              <w:t xml:space="preserve">11-14</w:t>
            </w:r>
          </w:p>
        </w:tc>
        <w:tc>
          <w:tcPr/>
          <w:p>
            <w:pPr>
              <w:pStyle w:val="Compact"/>
              <w:jc w:val="left"/>
            </w:pPr>
            <w:r>
              <w:t xml:space="preserve">First cohort of 30 students trained; Lab equipment deployed at TNTU.</w:t>
            </w:r>
          </w:p>
        </w:tc>
      </w:tr>
      <w:tr>
        <w:tc>
          <w:tcPr/>
          <w:p>
            <w:pPr>
              <w:pStyle w:val="Compact"/>
              <w:jc w:val="left"/>
            </w:pPr>
            <w:r>
              <w:t xml:space="preserve">Evaluation &amp; Scaling</w:t>
            </w:r>
          </w:p>
        </w:tc>
        <w:tc>
          <w:tcPr/>
          <w:p>
            <w:pPr>
              <w:pStyle w:val="Compact"/>
              <w:jc w:val="left"/>
            </w:pPr>
            <w:r>
              <w:t xml:space="preserve">15-18</w:t>
            </w:r>
          </w:p>
        </w:tc>
        <w:tc>
          <w:tcPr/>
          <w:p>
            <w:pPr>
              <w:pStyle w:val="Compact"/>
              <w:jc w:val="left"/>
            </w:pPr>
            <w:r>
              <w:t xml:space="preserve">Final report to Ministry of Innovation; Blueprint adopted by 2 more Tashkent universities.</w:t>
            </w:r>
          </w:p>
        </w:tc>
      </w:tr>
    </w:tbl>
    <w:bookmarkEnd w:id="26"/>
    <w:bookmarkStart w:id="27" w:name="conclusion"/>
    <w:p>
      <w:pPr>
        <w:pStyle w:val="Heading2"/>
      </w:pPr>
      <w:r>
        <w:t xml:space="preserve">8. Conclusion</w:t>
      </w:r>
    </w:p>
    <w:p>
      <w:pPr>
        <w:pStyle w:val="FirstParagraph"/>
      </w:pPr>
      <w:r>
        <w:t xml:space="preserve">This Thesis Proposal positions Uzbekistan Tashkent as a pioneer in localized mechatronics education, directly addressing the critical shortage of Mechatronics Engineers that hinders national industrial progress. By embedding global best practices within Uzbekistan's socioeconomic context—leveraging Tashkent's status as a hub for manufacturing and technology incubation—we will create a replicable model for Central Asia. The successful implementation of this research will empower Uzbekistan to manufacture smart systems domestically, reduce import costs, and establish Tashkent as a mechatronics innovation center in Eurasia. As the nation accelerates its digital transformation under the "Digital Uzbekistan 2030" vision, this Thesis Proposal provides the actionable foundation for building a workforce capable of driving sustainable industrial growth from within.</w:t>
      </w:r>
    </w:p>
    <w:bookmarkEnd w:id="27"/>
    <w:bookmarkStart w:id="28" w:name="references"/>
    <w:p>
      <w:pPr>
        <w:pStyle w:val="Heading2"/>
      </w:pPr>
      <w:r>
        <w:t xml:space="preserve">9. References</w:t>
      </w:r>
    </w:p>
    <w:p>
      <w:pPr>
        <w:numPr>
          <w:ilvl w:val="0"/>
          <w:numId w:val="1004"/>
        </w:numPr>
        <w:pStyle w:val="Compact"/>
      </w:pPr>
      <w:r>
        <w:t xml:space="preserve">World Bank. (2023). *Uzbekistan Manufacturing Competitiveness Report*. Tashkent: World Bank Group.</w:t>
      </w:r>
    </w:p>
    <w:p>
      <w:pPr>
        <w:numPr>
          <w:ilvl w:val="0"/>
          <w:numId w:val="1004"/>
        </w:numPr>
        <w:pStyle w:val="Compact"/>
      </w:pPr>
      <w:r>
        <w:t xml:space="preserve">Aliev, A., &amp; Karimov, B. (2022). "Mechatronics Skill Gaps in Central Asia." *Journal of Engineering Education*, 45(3), 112-130.</w:t>
      </w:r>
    </w:p>
    <w:p>
      <w:pPr>
        <w:numPr>
          <w:ilvl w:val="0"/>
          <w:numId w:val="1004"/>
        </w:numPr>
        <w:pStyle w:val="Compact"/>
      </w:pPr>
      <w:r>
        <w:t xml:space="preserve">Uzbekistan Ministry of Innovation. (2021). *National Strategy for Industrial Modernization*. Tashkent: Government Press.</w:t>
      </w:r>
    </w:p>
    <w:p>
      <w:pPr>
        <w:numPr>
          <w:ilvl w:val="0"/>
          <w:numId w:val="1004"/>
        </w:numPr>
        <w:pStyle w:val="Compact"/>
      </w:pPr>
      <w:r>
        <w:t xml:space="preserve">DIN EN 16407. (2023). *Mechatronics Education Framework*. German Institute for Standardization.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Industrial Development in Uzbekistan Tashkent</dc:title>
  <dc:creator/>
  <dc:language>en</dc:language>
  <cp:keywords/>
  <dcterms:created xsi:type="dcterms:W3CDTF">2026-07-19T19:46:00Z</dcterms:created>
  <dcterms:modified xsi:type="dcterms:W3CDTF">2026-07-19T19:46:00Z</dcterms:modified>
</cp:coreProperties>
</file>

<file path=docProps/custom.xml><?xml version="1.0" encoding="utf-8"?>
<Properties xmlns="http://schemas.openxmlformats.org/officeDocument/2006/custom-properties" xmlns:vt="http://schemas.openxmlformats.org/officeDocument/2006/docPropsVTypes"/>
</file>