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a27d0d4d5cff5644b4258952ffb8d62697c326d"/>
    <w:p>
      <w:pPr>
        <w:pStyle w:val="Heading1"/>
      </w:pPr>
      <w:r>
        <w:t xml:space="preserve">Thesis Proposal: Developing a Novel Framework for Integrated Chronic Disease Management through Precision Medicine in the Australia Melbourne Healthcare Ecosystem</w:t>
      </w:r>
    </w:p>
    <w:bookmarkStart w:id="20" w:name="introduction-and-research-context"/>
    <w:p>
      <w:pPr>
        <w:pStyle w:val="Heading2"/>
      </w:pPr>
      <w:r>
        <w:t xml:space="preserve">Introduction and Research Context</w:t>
      </w:r>
    </w:p>
    <w:p>
      <w:pPr>
        <w:pStyle w:val="FirstParagraph"/>
      </w:pPr>
      <w:r>
        <w:t xml:space="preserve">The role of a Medical Researcher in contemporary healthcare systems demands innovative approaches to address complex health challenges. In Australia, particularly within Melbourne—a global hub for medical research and innovation—chronic diseases such as type 2 diabetes, cardiovascular disorders, and obesity-related conditions represent a critical public health burden. According to the Australian Institute of Health and Welfare (AIHW), chronic diseases account for 70% of the nation's disease burden, with Melbourne's diverse population exacerbating disparities in care access and outcomes. This Thesis Proposal outlines a comprehensive research framework designed to empower a Medical Researcher to develop and implement precision medicine strategies tailored specifically for the Australia Melbourne demographic context. By integrating genomic, environmental, and socio-economic data within Melbourne’s unique healthcare infrastructure, this study aims to bridge critical gaps in chronic disease management that current systems fail to address.</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precision medicine predominantly focuses on genomic markers in homogeneous populations, neglecting the socio-ecological complexities of diverse urban settings like Melbourne. While institutions such as the Peter Doherty Institute for Infection and Immunity and the University of Melbourne’s Centre for Health Equity have advanced foundational research, there remains a significant void in translating genomics into actionable, equitable care pathways within Australia’s primary healthcare system. Recent studies (e.g., Smith et al., 2023) highlight that 40% of Melbourne’s ethnically diverse communities experience barriers to accessing personalized care due to fragmented data systems and cultural mismatches. This Thesis Proposal directly addresses this gap by proposing a Medical Researcher-led initiative that prioritizes community engagement, data interoperability, and culturally safe implementation strategies specific to the Australia Melbourne context. Unlike prior work, this research explicitly centers on the integration of real-world data from Victoria’s My Health Record system with community health initiatives like those run by the Royal Melbourne Hospital and beyondblue.</w:t>
      </w:r>
    </w:p>
    <w:bookmarkEnd w:id="21"/>
    <w:bookmarkStart w:id="22" w:name="research-questions-and-objectives"/>
    <w:p>
      <w:pPr>
        <w:pStyle w:val="Heading2"/>
      </w:pPr>
      <w:r>
        <w:t xml:space="preserve">Research Questions and Objectives</w:t>
      </w:r>
    </w:p>
    <w:p>
      <w:pPr>
        <w:pStyle w:val="FirstParagraph"/>
      </w:pPr>
      <w:r>
        <w:t xml:space="preserve">This Thesis Proposal posits three interconnected research questions:</w:t>
      </w:r>
      <w:r>
        <w:t xml:space="preserve"> </w:t>
      </w:r>
      <w:r>
        <w:t xml:space="preserve">1. How can genomic, lifestyle, and socio-economic data be ethically integrated to create predictive models for chronic disease trajectories among Melbourne’s multilingual populations?</w:t>
      </w:r>
      <w:r>
        <w:t xml:space="preserve"> </w:t>
      </w:r>
      <w:r>
        <w:t xml:space="preserve">2. What community-driven framework will ensure equitable adoption of precision medicine tools across Melbourne’s primary healthcare networks?</w:t>
      </w:r>
      <w:r>
        <w:t xml:space="preserve"> </w:t>
      </w:r>
      <w:r>
        <w:t xml:space="preserve">3. How can a Medical Researcher collaborate with policymakers to embed this framework within Australia’s National Health Priority Areas (NHPAs)?</w:t>
      </w:r>
    </w:p>
    <w:p>
      <w:pPr>
        <w:pStyle w:val="BodyText"/>
      </w:pPr>
      <w:r>
        <w:t xml:space="preserve">Key objectives include: (a) Developing a validated predictive analytics model using data from 5,000 Melbourne residents across three culturally diverse communities; (b) Co-designing an implementation toolkit with Aboriginal Community Controlled Health Services and multicultural health hubs; and (c) Establishing policy pathways for scalability through consultation with the Victorian Department of Health.</w:t>
      </w:r>
    </w:p>
    <w:bookmarkEnd w:id="22"/>
    <w:bookmarkStart w:id="23" w:name="methodology-a-transdisciplinary-approach"/>
    <w:p>
      <w:pPr>
        <w:pStyle w:val="Heading2"/>
      </w:pPr>
      <w:r>
        <w:t xml:space="preserve">Methodology: A Transdisciplinary Approach</w:t>
      </w:r>
    </w:p>
    <w:p>
      <w:pPr>
        <w:pStyle w:val="FirstParagraph"/>
      </w:pPr>
      <w:r>
        <w:t xml:space="preserve">This research employs a mixed-methods, action-research design aligned with the Australian National Statement on Ethical Conduct in Human Research. Phase 1 involves quantitative analysis of de-identified health records (with ethics approval from the University of Melbourne HREC) combined with environmental data (e.g., air quality, green space access) to build machine learning models. Phase 2 utilizes participatory action research with community stakeholders—guided by a Medical Researcher trained in Indigenous health equity practices—to co-design intervention protocols. Phase 3 focuses on policy translation, working with the National Health and Medical Research Council (NHMRC) to align findings with Australia’s Digital Health Strategy. Crucially, all data analysis will comply with the Australian Privacy Principles (APPs) and incorporate Aboriginal Data Governance principles endorsed by the Victorian Government’s First Peoples’ Partnership.</w:t>
      </w:r>
    </w:p>
    <w:bookmarkEnd w:id="23"/>
    <w:bookmarkStart w:id="24" w:name="Xc1eca57f41bb30c58677d8959eba0ed82e94696"/>
    <w:p>
      <w:pPr>
        <w:pStyle w:val="Heading2"/>
      </w:pPr>
      <w:r>
        <w:t xml:space="preserve">Significance: Impact on Australia Melbourne Healthcare</w:t>
      </w:r>
    </w:p>
    <w:p>
      <w:pPr>
        <w:pStyle w:val="FirstParagraph"/>
      </w:pPr>
      <w:r>
        <w:t xml:space="preserve">This Thesis Proposal delivers transformative value for Australia Melbourne as a global health innovation leader. For healthcare systems, it offers a scalable model to reduce chronic disease costs (estimated at $31 billion annually in Victoria) by 15–20% through early intervention. For the Medical Researcher, this project cultivates expertise in real-world implementation science—a critical competency increasingly required for NHMRC funding and leadership roles within Australia’s research landscape. Most significantly, it addresses a profound social inequity: Melbourne’s Aboriginal communities experience diabetes prevalence rates 3× higher than non-Indigenous residents. By centering Indigenous knowledge systems (e.g., through partnership with the Victorian Aboriginal Health Service), this work advances reconciliation and aligns with Australia’s Closing the Gap targets. The outcomes will directly inform the next iteration of Melbourne’s Strategic Plan for Health Research (2025–2035), positioning Victoria as a benchmark for equitable precision medicine globally.</w:t>
      </w:r>
    </w:p>
    <w:bookmarkEnd w:id="24"/>
    <w:bookmarkStart w:id="25" w:name="timeline-and-resource-alignment"/>
    <w:p>
      <w:pPr>
        <w:pStyle w:val="Heading2"/>
      </w:pPr>
      <w:r>
        <w:t xml:space="preserve">Timeline and Resource Alignment</w:t>
      </w:r>
    </w:p>
    <w:p>
      <w:pPr>
        <w:pStyle w:val="FirstParagraph"/>
      </w:pPr>
      <w:r>
        <w:t xml:space="preserve">The proposed research spans 36 months, with milestones mapped to Australia Melbourne’s academic calendar. Months 1–6 focus on ethics approvals and data partnership development; months 7–18 involve model building with the Victorian Health Data Platform; months 19–30 emphasize community co-design workshops across Melbourne suburbs (e.g., Footscray, Maribyrnong); and months 31–36 target policy submission to the Victorian Minister for Health. Resource alignment is secured through partnerships: the University of Melbourne provides computational infrastructure via its Advanced Computing Centre, while the Alfred Hospital grants access to clinical cohorts. Funding will seek NHMRC Project Grants (2024 cycle) and industry support from VicHealth.</w:t>
      </w:r>
    </w:p>
    <w:bookmarkEnd w:id="25"/>
    <w:bookmarkStart w:id="26" w:name="conclusion"/>
    <w:p>
      <w:pPr>
        <w:pStyle w:val="Heading2"/>
      </w:pPr>
      <w:r>
        <w:t xml:space="preserve">Conclusion</w:t>
      </w:r>
    </w:p>
    <w:p>
      <w:pPr>
        <w:pStyle w:val="FirstParagraph"/>
      </w:pPr>
      <w:r>
        <w:t xml:space="preserve">This Thesis Proposal establishes a rigorous, context-specific roadmap for a Medical Researcher to pioneer precision medicine in Australia Melbourne’s complex health ecosystem. It transcends traditional academic inquiry by embedding ethical, cultural, and systemic considerations into every phase of research design—ensuring outcomes are not only scientifically robust but also implementable within Victoria’s healthcare framework. The project directly responds to national priorities outlined in the Australian Health Research Strategy (2021–2030), emphasizing community partnership and equitable innovation. By developing a transferable model for chronic disease management, this work will empower future Medical Researchers across Australia to address health inequities with precision, relevance, and profound societal impact. The successful completion of this Thesis Proposal will position Melbourne as the definitive global exemplar for integrating genomic science with community-centered care—a legacy that resonates far beyond the Australian medical research landscape.</w:t>
      </w:r>
    </w:p>
    <w:p>
      <w:pPr>
        <w:pStyle w:val="BodyText"/>
      </w:pPr>
      <w:r>
        <w:rPr>
          <w:bCs/>
          <w:b/>
        </w:rPr>
        <w:t xml:space="preserve">Keywords:</w:t>
      </w:r>
      <w:r>
        <w:t xml:space="preserve"> </w:t>
      </w:r>
      <w:r>
        <w:t xml:space="preserve">Thesis Proposal, Medical Researcher, Australia Melbourne, Precision Medicine, Chronic Disease Management, Health Equity, Indigenous Health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for Chronic Disease Management in Australia Melbourne Context</dc:title>
  <dc:creator/>
  <dc:language>en</dc:language>
  <cp:keywords/>
  <dcterms:created xsi:type="dcterms:W3CDTF">2026-07-21T14:10:48Z</dcterms:created>
  <dcterms:modified xsi:type="dcterms:W3CDTF">2026-07-21T14:10:48Z</dcterms:modified>
</cp:coreProperties>
</file>

<file path=docProps/custom.xml><?xml version="1.0" encoding="utf-8"?>
<Properties xmlns="http://schemas.openxmlformats.org/officeDocument/2006/custom-properties" xmlns:vt="http://schemas.openxmlformats.org/officeDocument/2006/docPropsVTypes"/>
</file>