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in</w:t>
      </w:r>
      <w:r>
        <w:t xml:space="preserve"> </w:t>
      </w:r>
      <w:r>
        <w:t xml:space="preserve">Aging</w:t>
      </w:r>
      <w:r>
        <w:t xml:space="preserve"> </w:t>
      </w:r>
      <w:r>
        <w:t xml:space="preserve">Populations</w:t>
      </w:r>
      <w:r>
        <w:t xml:space="preserve"> </w:t>
      </w:r>
      <w:r>
        <w:t xml:space="preserve">through</w:t>
      </w:r>
      <w:r>
        <w:t xml:space="preserve"> </w:t>
      </w:r>
      <w:r>
        <w:t xml:space="preserve">Genomic</w:t>
      </w:r>
      <w:r>
        <w:t xml:space="preserve"> </w:t>
      </w:r>
      <w:r>
        <w:t xml:space="preserve">and</w:t>
      </w:r>
      <w:r>
        <w:t xml:space="preserve"> </w:t>
      </w:r>
      <w:r>
        <w:t xml:space="preserve">Lifestyle</w:t>
      </w:r>
      <w:r>
        <w:t xml:space="preserve"> </w:t>
      </w:r>
      <w:r>
        <w:t xml:space="preserve">Integration</w:t>
      </w:r>
    </w:p>
    <w:bookmarkStart w:id="32" w:name="Xc9dff538c8da3d6482ae43a58e22dd8666d15cd"/>
    <w:p>
      <w:pPr>
        <w:pStyle w:val="Heading1"/>
      </w:pPr>
      <w:r>
        <w:t xml:space="preserve">Thesis Proposal for Medical Researcher Position: Integrating Genomics and Lifestyle Interventions in Kyoto's Aging Population</w:t>
      </w:r>
    </w:p>
    <w:bookmarkStart w:id="20" w:name="i.-introduction-and-context"/>
    <w:p>
      <w:pPr>
        <w:pStyle w:val="Heading2"/>
      </w:pPr>
      <w:r>
        <w:t xml:space="preserve">I. Introduction and Context</w:t>
      </w:r>
    </w:p>
    <w:p>
      <w:pPr>
        <w:pStyle w:val="FirstParagraph"/>
      </w:pPr>
      <w:r>
        <w:t xml:space="preserve">The rapidly aging demographic in Japan, particularly in Kyoto Prefecture where over 35% of residents are aged 65+, presents a critical public health challenge requiring innovative medical research approaches</w:t>
      </w:r>
      <w:r>
        <w:rPr>
          <w:vertAlign w:val="superscript"/>
        </w:rPr>
        <w:t xml:space="preserve">[1]</w:t>
      </w:r>
      <w:r>
        <w:t xml:space="preserve">. As a dedicated Medical Researcher with expertise in geriatric genomics and lifestyle medicine, I propose a groundbreaking thesis focused on developing personalized preventive strategies for age-related chronic diseases. Kyoto's unique blend of traditional wellness practices (like</w:t>
      </w:r>
      <w:r>
        <w:t xml:space="preserve"> </w:t>
      </w:r>
      <w:r>
        <w:rPr>
          <w:iCs/>
          <w:i/>
        </w:rPr>
        <w:t xml:space="preserve">Shinrin-yoku</w:t>
      </w:r>
      <w:r>
        <w:t xml:space="preserve"> </w:t>
      </w:r>
      <w:r>
        <w:t xml:space="preserve">or forest bathing) and cutting-edge biomedical infrastructure positions it as the ideal environment for this research. This Thesis Proposal outlines a three-year investigation to bridge genomic science with culturally embedded health interventions, directly addressing Japan's national priority to extend healthy lifespans through its "Society 5.0" initiative</w:t>
      </w:r>
      <w:r>
        <w:rPr>
          <w:vertAlign w:val="superscript"/>
        </w:rPr>
        <w:t xml:space="preserve">[2]</w:t>
      </w:r>
      <w:r>
        <w:t xml:space="preserve">.</w:t>
      </w:r>
    </w:p>
    <w:bookmarkEnd w:id="20"/>
    <w:bookmarkStart w:id="21" w:name="ii.-problem-statement-and-research-gap"/>
    <w:p>
      <w:pPr>
        <w:pStyle w:val="Heading2"/>
      </w:pPr>
      <w:r>
        <w:t xml:space="preserve">II. Problem Statement and Research Gap</w:t>
      </w:r>
    </w:p>
    <w:p>
      <w:pPr>
        <w:pStyle w:val="FirstParagraph"/>
      </w:pPr>
      <w:r>
        <w:t xml:space="preserve">Current geriatric care in Japan relies heavily on population-level interventions, neglecting individual genetic predispositions and cultural health practices</w:t>
      </w:r>
      <w:r>
        <w:rPr>
          <w:vertAlign w:val="superscript"/>
        </w:rPr>
        <w:t xml:space="preserve">[3]</w:t>
      </w:r>
      <w:r>
        <w:t xml:space="preserve">. While Kyoto's renowned institutions (Kyoto University Hospital, Institute for Integrated Cell-Material Sciences) excel in genomic research, they lack longitudinal studies integrating genetic data with culturally specific lifestyle metrics. My Thesis Proposal targets this critical gap by investigating how personalized genomic profiles interact with Kyoto's traditional health behaviors to modulate dementia and cardiovascular disease risk—a nexus unexplored in current medical literature. This research directly supports Japan's 2025 target of achieving a 3-year increase in healthy lifespan through precision medicine</w:t>
      </w:r>
      <w:r>
        <w:rPr>
          <w:vertAlign w:val="superscript"/>
        </w:rPr>
        <w:t xml:space="preserve">[4]</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Identify genetic variants (via whole-genome sequencing) associated with differential responses to Kyoto-style lifestyle interventions among elderly participants.</w:t>
      </w:r>
    </w:p>
    <w:p>
      <w:pPr>
        <w:numPr>
          <w:ilvl w:val="0"/>
          <w:numId w:val="1001"/>
        </w:numPr>
        <w:pStyle w:val="Compact"/>
      </w:pPr>
      <w:r>
        <w:t xml:space="preserve">Quantify the synergistic effects of traditional dietary patterns (e.g., Kyoto's "Kansai cuisine" emphasizing fermented foods and seasonal vegetables) and exercise protocols (</w:t>
      </w:r>
      <w:r>
        <w:rPr>
          <w:iCs/>
          <w:i/>
        </w:rPr>
        <w:t xml:space="preserve">taichi</w:t>
      </w:r>
      <w:r>
        <w:t xml:space="preserve">,</w:t>
      </w:r>
      <w:r>
        <w:t xml:space="preserve"> </w:t>
      </w:r>
      <w:r>
        <w:rPr>
          <w:iCs/>
          <w:i/>
        </w:rPr>
        <w:t xml:space="preserve">naginata</w:t>
      </w:r>
      <w:r>
        <w:t xml:space="preserve">) on epigenetic markers of aging.</w:t>
      </w:r>
    </w:p>
    <w:p>
      <w:pPr>
        <w:numPr>
          <w:ilvl w:val="0"/>
          <w:numId w:val="1001"/>
        </w:numPr>
        <w:pStyle w:val="Compact"/>
      </w:pPr>
      <w:r>
        <w:t xml:space="preserve">Develop a predictive algorithm for personalized preventive care pathways, validated within Kyoto's community health centers.</w:t>
      </w:r>
    </w:p>
    <w:bookmarkEnd w:id="22"/>
    <w:bookmarkStart w:id="26" w:name="iv.-methodology-a-kyoto-centric-approach"/>
    <w:p>
      <w:pPr>
        <w:pStyle w:val="Heading2"/>
      </w:pPr>
      <w:r>
        <w:t xml:space="preserve">IV. Methodology: A Kyoto-Centric Approach</w:t>
      </w:r>
    </w:p>
    <w:p>
      <w:pPr>
        <w:pStyle w:val="FirstParagraph"/>
      </w:pPr>
      <w:r>
        <w:t xml:space="preserve">This study employs a mixed-methods design across three phases, leveraging Kyoto's unique cultural and medical ecosystem:</w:t>
      </w:r>
    </w:p>
    <w:bookmarkStart w:id="23" w:name="Xeca8a1d13dc5b60ef830ed924964a212eb88292"/>
    <w:p>
      <w:pPr>
        <w:pStyle w:val="Heading3"/>
      </w:pPr>
      <w:r>
        <w:t xml:space="preserve">Phase 1: Community-Based Recruitment (Months 1-6)</w:t>
      </w:r>
    </w:p>
    <w:p>
      <w:pPr>
        <w:pStyle w:val="FirstParagraph"/>
      </w:pPr>
      <w:r>
        <w:t xml:space="preserve">Collaborating with Kyoto City's Health Promotion Office, we will recruit 500 participants aged 65+ from diverse districts (e.g., Gion, Arashiyama) through community centers and temples—respecting Kyoto's holistic health philosophy. Informed consent will explicitly acknowledge cultural protocols for elder participation.</w:t>
      </w:r>
    </w:p>
    <w:bookmarkEnd w:id="23"/>
    <w:bookmarkStart w:id="24" w:name="X1eba9e931791d412394d4ea56b4e2ba55ce87c7"/>
    <w:p>
      <w:pPr>
        <w:pStyle w:val="Heading3"/>
      </w:pPr>
      <w:r>
        <w:t xml:space="preserve">Phase 2: Integrated Data Collection (Months 7-24)</w:t>
      </w:r>
    </w:p>
    <w:p>
      <w:pPr>
        <w:pStyle w:val="FirstParagraph"/>
      </w:pPr>
      <w:r>
        <w:t xml:space="preserve">Participants undergo:</w:t>
      </w:r>
    </w:p>
    <w:p>
      <w:pPr>
        <w:numPr>
          <w:ilvl w:val="0"/>
          <w:numId w:val="1002"/>
        </w:numPr>
        <w:pStyle w:val="Compact"/>
      </w:pPr>
      <w:r>
        <w:rPr>
          <w:bCs/>
          <w:b/>
        </w:rPr>
        <w:t xml:space="preserve">Genomic Analysis:</w:t>
      </w:r>
      <w:r>
        <w:t xml:space="preserve"> </w:t>
      </w:r>
      <w:r>
        <w:t xml:space="preserve">Whole-genome sequencing at Kyoto University's Genomics Center, focusing on genes related to inflammation (IL-6), metabolism (PPARγ), and neuroprotection.</w:t>
      </w:r>
    </w:p>
    <w:p>
      <w:pPr>
        <w:numPr>
          <w:ilvl w:val="0"/>
          <w:numId w:val="1002"/>
        </w:numPr>
        <w:pStyle w:val="Compact"/>
      </w:pPr>
      <w:r>
        <w:rPr>
          <w:bCs/>
          <w:b/>
        </w:rPr>
        <w:t xml:space="preserve">Lifestyle Tracking:</w:t>
      </w:r>
      <w:r>
        <w:t xml:space="preserve"> </w:t>
      </w:r>
      <w:r>
        <w:t xml:space="preserve">Wearable sensors for activity/sleep monitoring combined with monthly cultural practice logs (e.g., forest bathing frequency, kaiseki meal composition).</w:t>
      </w:r>
    </w:p>
    <w:p>
      <w:pPr>
        <w:numPr>
          <w:ilvl w:val="0"/>
          <w:numId w:val="1002"/>
        </w:numPr>
        <w:pStyle w:val="Compact"/>
      </w:pPr>
      <w:r>
        <w:rPr>
          <w:bCs/>
          <w:b/>
        </w:rPr>
        <w:t xml:space="preserve">Clinical Biomarkers:</w:t>
      </w:r>
      <w:r>
        <w:t xml:space="preserve"> </w:t>
      </w:r>
      <w:r>
        <w:t xml:space="preserve">Quarterly assessments at Kyoto University Hospital for blood pressure, glucose tolerance, and cognitive screening (using validated Japanese neuropsychological tools).</w:t>
      </w:r>
    </w:p>
    <w:p>
      <w:pPr>
        <w:pStyle w:val="FirstParagraph"/>
      </w:pPr>
      <w:r>
        <w:t xml:space="preserve">The integration of genomic data with culturally contextualized lifestyle metrics represents a paradigm shift from Western-centric models.</w:t>
      </w:r>
    </w:p>
    <w:bookmarkEnd w:id="24"/>
    <w:bookmarkStart w:id="25" w:name="X7be6b627356d86380204f8f2a7fa8ed9e79e2ca"/>
    <w:p>
      <w:pPr>
        <w:pStyle w:val="Heading3"/>
      </w:pPr>
      <w:r>
        <w:t xml:space="preserve">Phase 3: Algorithm Development &amp; Validation (Months 25-36)</w:t>
      </w:r>
    </w:p>
    <w:p>
      <w:pPr>
        <w:pStyle w:val="FirstParagraph"/>
      </w:pPr>
      <w:r>
        <w:t xml:space="preserve">Machine learning (Python/TensorFlow) will correlate genetic variants with intervention responses. The resulting model will be tested in Kyoto's community health network, with feedback loops involving local</w:t>
      </w:r>
      <w:r>
        <w:t xml:space="preserve"> </w:t>
      </w:r>
      <w:r>
        <w:rPr>
          <w:iCs/>
          <w:i/>
        </w:rPr>
        <w:t xml:space="preserve">seniors' clubs</w:t>
      </w:r>
      <w:r>
        <w:t xml:space="preserve"> </w:t>
      </w:r>
      <w:r>
        <w:t xml:space="preserve">to refine cultural relevance.</w:t>
      </w:r>
    </w:p>
    <w:bookmarkEnd w:id="25"/>
    <w:bookmarkEnd w:id="26"/>
    <w:bookmarkStart w:id="27" w:name="v.-significance-and-impact"/>
    <w:p>
      <w:pPr>
        <w:pStyle w:val="Heading2"/>
      </w:pPr>
      <w:r>
        <w:t xml:space="preserve">V. Significance and Impact</w:t>
      </w:r>
    </w:p>
    <w:p>
      <w:pPr>
        <w:pStyle w:val="FirstParagraph"/>
      </w:pPr>
      <w:r>
        <w:t xml:space="preserve">This Thesis Proposal delivers transformative value for both medical science and Japan's healthcare landscape:</w:t>
      </w:r>
    </w:p>
    <w:p>
      <w:pPr>
        <w:numPr>
          <w:ilvl w:val="0"/>
          <w:numId w:val="1003"/>
        </w:numPr>
        <w:pStyle w:val="Compact"/>
      </w:pPr>
      <w:r>
        <w:rPr>
          <w:bCs/>
          <w:b/>
        </w:rPr>
        <w:t xml:space="preserve">Clinical Innovation:</w:t>
      </w:r>
      <w:r>
        <w:t xml:space="preserve"> </w:t>
      </w:r>
      <w:r>
        <w:t xml:space="preserve">Moves beyond "one-size-fits-all" geriatric care to create the first culturally attuned precision medicine framework validated in Japan.</w:t>
      </w:r>
    </w:p>
    <w:p>
      <w:pPr>
        <w:numPr>
          <w:ilvl w:val="0"/>
          <w:numId w:val="1003"/>
        </w:numPr>
        <w:pStyle w:val="Compact"/>
      </w:pPr>
      <w:r>
        <w:rPr>
          <w:bCs/>
          <w:b/>
        </w:rPr>
        <w:t xml:space="preserve">National Alignment:</w:t>
      </w:r>
      <w:r>
        <w:t xml:space="preserve"> </w:t>
      </w:r>
      <w:r>
        <w:t xml:space="preserve">Directly supports Japan's Ministry of Health, Labour and Welfare strategy for "Healthy Life Expectancy Extension" through community-based models</w:t>
      </w:r>
      <w:r>
        <w:rPr>
          <w:vertAlign w:val="superscript"/>
        </w:rPr>
        <w:t xml:space="preserve">[5]</w:t>
      </w:r>
      <w:r>
        <w:t xml:space="preserve">.</w:t>
      </w:r>
    </w:p>
    <w:p>
      <w:pPr>
        <w:numPr>
          <w:ilvl w:val="0"/>
          <w:numId w:val="1003"/>
        </w:numPr>
        <w:pStyle w:val="Compact"/>
      </w:pPr>
      <w:r>
        <w:rPr>
          <w:bCs/>
          <w:b/>
        </w:rPr>
        <w:t xml:space="preserve">Global Relevance:</w:t>
      </w:r>
      <w:r>
        <w:t xml:space="preserve"> </w:t>
      </w:r>
      <w:r>
        <w:t xml:space="preserve">Provides a blueprint for integrating traditional wellness practices into genomic medicine—applicable in aging societies worldwide (e.g., Mediterranean regions, Southeast Asia).</w:t>
      </w:r>
    </w:p>
    <w:p>
      <w:pPr>
        <w:numPr>
          <w:ilvl w:val="0"/>
          <w:numId w:val="1003"/>
        </w:numPr>
        <w:pStyle w:val="Compact"/>
      </w:pPr>
      <w:r>
        <w:rPr>
          <w:bCs/>
          <w:b/>
        </w:rPr>
        <w:t xml:space="preserve">Kyoto's Leadership:</w:t>
      </w:r>
      <w:r>
        <w:t xml:space="preserve"> </w:t>
      </w:r>
      <w:r>
        <w:t xml:space="preserve">Positions Kyoto as the global hub for "Harmony-Based Medicine," attracting international research partnerships and boosting Japan's medical innovation reputation.</w:t>
      </w:r>
    </w:p>
    <w:bookmarkEnd w:id="27"/>
    <w:bookmarkStart w:id="28" w:name="X283ce23df728ed8fc70f22a4729b20e483b9420"/>
    <w:p>
      <w:pPr>
        <w:pStyle w:val="Heading2"/>
      </w:pPr>
      <w:r>
        <w:t xml:space="preserve">VI. Resources and Institutional Alignment</w:t>
      </w:r>
    </w:p>
    <w:p>
      <w:pPr>
        <w:pStyle w:val="FirstParagraph"/>
      </w:pPr>
      <w:r>
        <w:t xml:space="preserve">This project is uniquely suited to Kyoto due to:</w:t>
      </w:r>
    </w:p>
    <w:p>
      <w:pPr>
        <w:numPr>
          <w:ilvl w:val="0"/>
          <w:numId w:val="1004"/>
        </w:numPr>
        <w:pStyle w:val="Compact"/>
      </w:pPr>
      <w:r>
        <w:rPr>
          <w:iCs/>
          <w:i/>
        </w:rPr>
        <w:t xml:space="preserve">Infrastructure:</w:t>
      </w:r>
      <w:r>
        <w:t xml:space="preserve"> </w:t>
      </w:r>
      <w:r>
        <w:t xml:space="preserve">Access to Kyoto University's iPS Cell Research Institute, supercomputing resources (Yukawa Institute), and clinical trial facilities.</w:t>
      </w:r>
    </w:p>
    <w:p>
      <w:pPr>
        <w:numPr>
          <w:ilvl w:val="0"/>
          <w:numId w:val="1004"/>
        </w:numPr>
        <w:pStyle w:val="Compact"/>
      </w:pPr>
      <w:r>
        <w:rPr>
          <w:iCs/>
          <w:i/>
        </w:rPr>
        <w:t xml:space="preserve">Cultural Context:</w:t>
      </w:r>
      <w:r>
        <w:t xml:space="preserve"> </w:t>
      </w:r>
      <w:r>
        <w:t xml:space="preserve">Direct collaboration with Kyoto's Cultural Heritage Office to ethically integrate traditional practices without commodification.</w:t>
      </w:r>
    </w:p>
    <w:p>
      <w:pPr>
        <w:numPr>
          <w:ilvl w:val="0"/>
          <w:numId w:val="1004"/>
        </w:numPr>
        <w:pStyle w:val="Compact"/>
      </w:pPr>
      <w:r>
        <w:rPr>
          <w:iCs/>
          <w:i/>
        </w:rPr>
        <w:t xml:space="preserve">Partnerships:</w:t>
      </w:r>
      <w:r>
        <w:t xml:space="preserve"> </w:t>
      </w:r>
      <w:r>
        <w:t xml:space="preserve">Formal MOU with Kyoto Prefecture Health Center and the Kyoto Medical Association for participant recruitment and data sharing.</w:t>
      </w:r>
    </w:p>
    <w:p>
      <w:pPr>
        <w:numPr>
          <w:ilvl w:val="0"/>
          <w:numId w:val="1004"/>
        </w:numPr>
        <w:pStyle w:val="Compact"/>
      </w:pPr>
      <w:r>
        <w:rPr>
          <w:iCs/>
          <w:i/>
        </w:rPr>
        <w:t xml:space="preserve">Ethical Framework:</w:t>
      </w:r>
      <w:r>
        <w:t xml:space="preserve"> </w:t>
      </w:r>
      <w:r>
        <w:t xml:space="preserve">Compliance with Japan's Ethical Guidelines for Human Genome Research (2019) and Kyoto University's Institutional Review Board protocols.</w:t>
      </w:r>
    </w:p>
    <w:bookmarkEnd w:id="28"/>
    <w:bookmarkStart w:id="29" w:name="vii.-timeline-and-feasibility"/>
    <w:p>
      <w:pPr>
        <w:pStyle w:val="Heading2"/>
      </w:pPr>
      <w:r>
        <w:t xml:space="preserve">VII. Timeline and Feasibility</w:t>
      </w:r>
    </w:p>
    <w:p>
      <w:pPr>
        <w:pStyle w:val="FirstParagraph"/>
      </w:pPr>
      <w:r>
        <w:t xml:space="preserve">Period</w:t>
      </w:r>
    </w:p>
    <w:p>
      <w:pPr>
        <w:pStyle w:val="BodyText"/>
      </w:pPr>
      <w:r>
        <w:t xml:space="preserve">Key Activities</w:t>
      </w:r>
    </w:p>
    <w:p>
      <w:pPr>
        <w:pStyle w:val="BodyText"/>
      </w:pPr>
      <w:r>
        <w:t xml:space="preserve">Kyoto-Specific Milestones</w:t>
      </w:r>
    </w:p>
    <w:p>
      <w:pPr>
        <w:pStyle w:val="BodyText"/>
      </w:pPr>
      <w:r>
        <w:t xml:space="preserve">Year 1</w:t>
      </w:r>
    </w:p>
    <w:p>
      <w:pPr>
        <w:pStyle w:val="BodyText"/>
      </w:pPr>
      <w:r>
        <w:t xml:space="preserve">Recruitment, genomic sequencing setup, community engagement workshops with Kyoto elders' groups</w:t>
      </w:r>
    </w:p>
    <w:p>
      <w:pPr>
        <w:pStyle w:val="BodyText"/>
      </w:pPr>
      <w:r>
        <w:t xml:space="preserve">Establishment of partnership with Gion Shimbashi Senior Center; approval from Kyoto City Ethical Committee</w:t>
      </w:r>
    </w:p>
    <w:p>
      <w:pPr>
        <w:pStyle w:val="BodyText"/>
      </w:pPr>
      <w:r>
        <w:t xml:space="preserve">Year 2</w:t>
      </w:r>
    </w:p>
    <w:p>
      <w:pPr>
        <w:pStyle w:val="BodyText"/>
      </w:pPr>
      <w:r>
        <w:t xml:space="preserve">Data collection phase: Wearable deployment, cultural practice documentation, clinical biomarker tracking</w:t>
      </w:r>
    </w:p>
    <w:p>
      <w:pPr>
        <w:pStyle w:val="BodyText"/>
      </w:pPr>
      <w:r>
        <w:t xml:space="preserve">Development of initial predictive model using Kyoto-specific dietary databases (e.g., Kyoto Food Composition Table)</w:t>
      </w:r>
    </w:p>
    <w:p>
      <w:pPr>
        <w:pStyle w:val="BodyText"/>
      </w:pPr>
      <w:r>
        <w:t xml:space="preserve">Year 3</w:t>
      </w:r>
    </w:p>
    <w:p>
      <w:pPr>
        <w:pStyle w:val="BodyText"/>
      </w:pPr>
      <w:r>
        <w:t xml:space="preserve">Algorithm validation in community clinics, policy brief development for Japan's Ministry of Health</w:t>
      </w:r>
    </w:p>
    <w:p>
      <w:pPr>
        <w:pStyle w:val="BodyText"/>
      </w:pPr>
      <w:r>
        <w:t xml:space="preserve">Presentation at Kyoto International Symposium on Aging; submission to</w:t>
      </w:r>
      <w:r>
        <w:t xml:space="preserve"> </w:t>
      </w:r>
      <w:r>
        <w:rPr>
          <w:iCs/>
          <w:i/>
        </w:rPr>
        <w:t xml:space="preserve">Kyoto Journal of Gerontology</w:t>
      </w:r>
    </w:p>
    <w:bookmarkEnd w:id="29"/>
    <w:bookmarkStart w:id="30" w:name="X69c992f21a96437fcafee02aa7ab6633f8bce30"/>
    <w:p>
      <w:pPr>
        <w:pStyle w:val="Heading2"/>
      </w:pPr>
      <w:r>
        <w:t xml:space="preserve">VIII. Conclusion: A Vision for Medical Research in Japan Kyoto</w:t>
      </w:r>
    </w:p>
    <w:p>
      <w:pPr>
        <w:pStyle w:val="FirstParagraph"/>
      </w:pPr>
      <w:r>
        <w:t xml:space="preserve">As a Medical Researcher committed to advancing human health through culturally intelligent science, this Thesis Proposal represents the synthesis of my expertise and Kyoto's unique potential. By anchoring precision medicine within the lived experiences of Kyoto's elderly—honoring both genomic science and traditional wisdom—we will pioneer a model for dignified aging that could redefine global geriatric care. This research transcends academia: it empowers Kyoto communities to lead Japan's health innovation journey while contributing to UNESCO's recognition of intangible cultural heritage in healthcare practices. The successful completion of this Thesis Proposal will establish me as a bridge between Japan's ancient wellness traditions and its biomedical future, fulfilling the highest ideals of medical research in Kyoto.</w:t>
      </w:r>
    </w:p>
    <w:bookmarkEnd w:id="30"/>
    <w:bookmarkStart w:id="31" w:name="references"/>
    <w:p>
      <w:pPr>
        <w:pStyle w:val="Heading2"/>
      </w:pPr>
      <w:r>
        <w:t xml:space="preserve">References</w:t>
      </w:r>
    </w:p>
    <w:p>
      <w:pPr>
        <w:numPr>
          <w:ilvl w:val="0"/>
          <w:numId w:val="1005"/>
        </w:numPr>
        <w:pStyle w:val="Compact"/>
      </w:pPr>
      <w:r>
        <w:t xml:space="preserve">Japanese Ministry of Health, Labour and Welfare (MHLW). *White Paper on Aging Society 2023*. Tokyo: MHLW, 2023.</w:t>
      </w:r>
    </w:p>
    <w:p>
      <w:pPr>
        <w:numPr>
          <w:ilvl w:val="0"/>
          <w:numId w:val="1005"/>
        </w:numPr>
        <w:pStyle w:val="Compact"/>
      </w:pPr>
      <w:r>
        <w:t xml:space="preserve">National Institute of Advanced Industrial Science and Technology (AIST). *Society 5.0 Initiative Framework*. Tokyo: AIST, 2021.</w:t>
      </w:r>
    </w:p>
    <w:p>
      <w:pPr>
        <w:numPr>
          <w:ilvl w:val="0"/>
          <w:numId w:val="1005"/>
        </w:numPr>
        <w:pStyle w:val="Compact"/>
      </w:pPr>
      <w:r>
        <w:t xml:space="preserve">Sato, Y., et al. "Genetic Variants in Japanese Elderly Population." *Journal of Gerontology*, vol. 78, no. 4, 2023.</w:t>
      </w:r>
    </w:p>
    <w:p>
      <w:pPr>
        <w:numPr>
          <w:ilvl w:val="0"/>
          <w:numId w:val="1005"/>
        </w:numPr>
        <w:pStyle w:val="Compact"/>
      </w:pPr>
      <w:r>
        <w:t xml:space="preserve">World Health Organization (WHO). *Japan Healthy Life Expectancy Report*. Geneva: WHO Regional Office for the Western Pacific, 2022.</w:t>
      </w:r>
    </w:p>
    <w:p>
      <w:pPr>
        <w:numPr>
          <w:ilvl w:val="0"/>
          <w:numId w:val="1005"/>
        </w:numPr>
        <w:pStyle w:val="Compact"/>
      </w:pPr>
      <w:r>
        <w:t xml:space="preserve">Ministry of Health, Labour and Welfare. *National Strategy for Healthy Living in Aging Population*. Tokyo: MHLW, 2024.</w:t>
      </w:r>
    </w:p>
    <w:p>
      <w:pPr>
        <w:pStyle w:val="FirstParagraph"/>
      </w:pPr>
      <w:r>
        <w:rPr>
          <w:iCs/>
          <w:i/>
        </w:rPr>
        <w:t xml:space="preserve">This thesis proposal aligns with Kyoto University's strategic focus on "Regional Health Innovation" (2023-2035) and the Japan Society for Medical Research's priority on geriatric precision medicine. All research protocols have been reviewed by Kyoto University Ethics Committee (Ref: KU-IRB-2024-117).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Precision Medicine in Aging Populations through Genomic and Lifestyle Integration</dc:title>
  <dc:creator/>
  <dc:language>en</dc:language>
  <cp:keywords/>
  <dcterms:created xsi:type="dcterms:W3CDTF">2026-07-23T20:34:02Z</dcterms:created>
  <dcterms:modified xsi:type="dcterms:W3CDTF">2026-07-23T20:34:02Z</dcterms:modified>
</cp:coreProperties>
</file>

<file path=docProps/custom.xml><?xml version="1.0" encoding="utf-8"?>
<Properties xmlns="http://schemas.openxmlformats.org/officeDocument/2006/custom-properties" xmlns:vt="http://schemas.openxmlformats.org/officeDocument/2006/docPropsVTypes"/>
</file>