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Japan</w:t>
      </w:r>
      <w:r>
        <w:t xml:space="preserve"> </w:t>
      </w:r>
      <w:r>
        <w:t xml:space="preserve">Tokyo</w:t>
      </w:r>
    </w:p>
    <w:bookmarkStart w:id="29" w:name="X98e308d56195e0ea8ff1d9eb0903fca34cb1346"/>
    <w:p>
      <w:pPr>
        <w:pStyle w:val="Heading1"/>
      </w:pPr>
      <w:r>
        <w:t xml:space="preserve">Thesis Proposal: Advancing Precision Medicine for Aging Populations in Japan Tokyo</w:t>
      </w:r>
    </w:p>
    <w:bookmarkStart w:id="20" w:name="introduction-and-context"/>
    <w:p>
      <w:pPr>
        <w:pStyle w:val="Heading2"/>
      </w:pPr>
      <w:r>
        <w:t xml:space="preserve">Introduction and Context</w:t>
      </w:r>
    </w:p>
    <w:p>
      <w:pPr>
        <w:pStyle w:val="FirstParagraph"/>
      </w:pPr>
      <w:r>
        <w:t xml:space="preserve">The rapidly aging demographic of Japan presents unprecedented challenges to healthcare systems, particularly in metropolitan hubs like Tokyo where over 37 million people reside. As a dedicated</w:t>
      </w:r>
      <w:r>
        <w:t xml:space="preserve"> </w:t>
      </w:r>
      <w:r>
        <w:rPr>
          <w:iCs/>
          <w:i/>
        </w:rPr>
        <w:t xml:space="preserve">Medical Researcher</w:t>
      </w:r>
      <w:r>
        <w:t xml:space="preserve">, I propose this thesis to address critical gaps in age-related disease management through precision medicine frameworks tailored for the Japanese population. With Tokyo serving as Japan's premier center for biomedical innovation—housing institutions like the RIKEN Center for Biosystems Dynamics Research and the University of Tokyo Hospital—this research directly aligns with national health priorities outlined in Japan's "Healthy Life Expectancy Extension Strategy." My</w:t>
      </w:r>
      <w:r>
        <w:t xml:space="preserve"> </w:t>
      </w:r>
      <w:r>
        <w:rPr>
          <w:iCs/>
          <w:i/>
        </w:rPr>
        <w:t xml:space="preserve">Thesis Proposal</w:t>
      </w:r>
      <w:r>
        <w:t xml:space="preserve"> </w:t>
      </w:r>
      <w:r>
        <w:t xml:space="preserve">establishes a pathway to develop culturally and genetically sensitive interventions for chronic conditions prevalent among Japan's elderly, including dementia, cardiovascular disease, and type 2 diabetes. This work is not merely academic; it represents an urgent response to Tokyo's healthcare demands where over 30% of the population is aged 65+, straining hospital resources and insurance systems.</w:t>
      </w:r>
    </w:p>
    <w:bookmarkEnd w:id="20"/>
    <w:bookmarkStart w:id="21" w:name="problem-statement"/>
    <w:p>
      <w:pPr>
        <w:pStyle w:val="Heading2"/>
      </w:pPr>
      <w:r>
        <w:t xml:space="preserve">Problem Statement</w:t>
      </w:r>
    </w:p>
    <w:p>
      <w:pPr>
        <w:pStyle w:val="FirstParagraph"/>
      </w:pPr>
      <w:r>
        <w:t xml:space="preserve">Current medical protocols in Japan often fail to account for ethnic-specific genetic variations and lifestyle factors unique to Japanese elders. For instance, standard diabetes treatments show 40% lower efficacy in Japanese patients due to metabolic differences highlighted in a 2023 JAMA Internal Medicine study. Simultaneously, Tokyo's urban healthcare infrastructure struggles with fragmented data systems—patient records remain siloed across hospitals, clinics, and public health databases. This fragmentation impedes the development of personalized care plans essential for aging populations. As a</w:t>
      </w:r>
      <w:r>
        <w:t xml:space="preserve"> </w:t>
      </w:r>
      <w:r>
        <w:rPr>
          <w:iCs/>
          <w:i/>
        </w:rPr>
        <w:t xml:space="preserve">Medical Researcher</w:t>
      </w:r>
      <w:r>
        <w:t xml:space="preserve"> </w:t>
      </w:r>
      <w:r>
        <w:t xml:space="preserve">targeting Tokyo as the operational base, my thesis directly confronts these systemic barriers by integrating multi-omics data with Tokyo's existing healthcare IT ecosystems.</w:t>
      </w:r>
    </w:p>
    <w:bookmarkEnd w:id="21"/>
    <w:bookmarkStart w:id="22" w:name="research-objectives"/>
    <w:p>
      <w:pPr>
        <w:pStyle w:val="Heading2"/>
      </w:pPr>
      <w:r>
        <w:t xml:space="preserve">Research Objectives</w:t>
      </w:r>
    </w:p>
    <w:p>
      <w:pPr>
        <w:numPr>
          <w:ilvl w:val="0"/>
          <w:numId w:val="1001"/>
        </w:numPr>
        <w:pStyle w:val="Compact"/>
      </w:pPr>
      <w:r>
        <w:rPr>
          <w:bCs/>
          <w:b/>
        </w:rPr>
        <w:t xml:space="preserve">Catalog Genetic &amp; Environmental Factors:</w:t>
      </w:r>
      <w:r>
        <w:t xml:space="preserve"> </w:t>
      </w:r>
      <w:r>
        <w:t xml:space="preserve">Analyze genomic, metabolomic, and lifestyle data from 15,000 Tokyo residents aged 65+ using biobanks at Keio University Hospital and the National Center for Geriatrics and Gerontology (NCGG).</w:t>
      </w:r>
    </w:p>
    <w:p>
      <w:pPr>
        <w:numPr>
          <w:ilvl w:val="0"/>
          <w:numId w:val="1001"/>
        </w:numPr>
        <w:pStyle w:val="Compact"/>
      </w:pPr>
      <w:r>
        <w:rPr>
          <w:bCs/>
          <w:b/>
        </w:rPr>
        <w:t xml:space="preserve">Develop Predictive AI Models:</w:t>
      </w:r>
      <w:r>
        <w:t xml:space="preserve"> </w:t>
      </w:r>
      <w:r>
        <w:t xml:space="preserve">Create machine learning algorithms trained on Tokyo's demographic-specific datasets to forecast disease progression in Japanese patients with 85%+ accuracy.</w:t>
      </w:r>
    </w:p>
    <w:p>
      <w:pPr>
        <w:numPr>
          <w:ilvl w:val="0"/>
          <w:numId w:val="1001"/>
        </w:numPr>
        <w:pStyle w:val="Compact"/>
      </w:pPr>
      <w:r>
        <w:rPr>
          <w:bCs/>
          <w:b/>
        </w:rPr>
        <w:t xml:space="preserve">Design Culturally Adaptive Protocols:</w:t>
      </w:r>
      <w:r>
        <w:t xml:space="preserve"> </w:t>
      </w:r>
      <w:r>
        <w:t xml:space="preserve">Co-create intervention frameworks with Tokyo healthcare providers, prioritizing low-technology accessibility for rural-adjacent communities within the Tokyo metropolitan area.</w:t>
      </w:r>
    </w:p>
    <w:bookmarkEnd w:id="22"/>
    <w:bookmarkStart w:id="23" w:name="literature-review-and-innovation"/>
    <w:p>
      <w:pPr>
        <w:pStyle w:val="Heading2"/>
      </w:pPr>
      <w:r>
        <w:t xml:space="preserve">Literature Review and Innovation</w:t>
      </w:r>
    </w:p>
    <w:p>
      <w:pPr>
        <w:pStyle w:val="FirstParagraph"/>
      </w:pPr>
      <w:r>
        <w:t xml:space="preserve">Existing research (e.g., Fujita et al., 2021 in</w:t>
      </w:r>
      <w:r>
        <w:t xml:space="preserve"> </w:t>
      </w:r>
      <w:r>
        <w:rPr>
          <w:iCs/>
          <w:i/>
        </w:rPr>
        <w:t xml:space="preserve">Nature Aging</w:t>
      </w:r>
      <w:r>
        <w:t xml:space="preserve">) demonstrates Japan's genetic uniqueness in drug metabolism but lacks real-world implementation frameworks. Recent Tokyo-based studies at the Tokyo Institute of Technology (Tokyo Tech) focused on wearable health monitors but ignored socioeconomic variables affecting elderly compliance. My</w:t>
      </w:r>
      <w:r>
        <w:t xml:space="preserve"> </w:t>
      </w:r>
      <w:r>
        <w:rPr>
          <w:iCs/>
          <w:i/>
        </w:rPr>
        <w:t xml:space="preserve">Thesis Proposal</w:t>
      </w:r>
      <w:r>
        <w:t xml:space="preserve"> </w:t>
      </w:r>
      <w:r>
        <w:t xml:space="preserve">innovates by bridging these gaps: it merges NCGG's longitudinal aging data with Tokyo's Smart City infrastructure, enabling dynamic monitoring via IoT devices integrated into public healthcare networks. Crucially, this research moves beyond Western-centric models—such as the UK Biobank—to prioritize Japanese phenotypic diversity. The methodology leverages Japan's national "i-Health" initiative (2025), positioning Tokyo as the ideal testbed for scalable precision medicine solutions.</w:t>
      </w:r>
    </w:p>
    <w:bookmarkEnd w:id="23"/>
    <w:bookmarkStart w:id="24" w:name="methodology"/>
    <w:p>
      <w:pPr>
        <w:pStyle w:val="Heading2"/>
      </w:pPr>
      <w:r>
        <w:t xml:space="preserve">Methodology</w:t>
      </w:r>
    </w:p>
    <w:p>
      <w:pPr>
        <w:pStyle w:val="FirstParagraph"/>
      </w:pPr>
      <w:r>
        <w:t xml:space="preserve">This 3-year study employs a mixed-methods approach across four phases:</w:t>
      </w:r>
    </w:p>
    <w:p>
      <w:pPr>
        <w:numPr>
          <w:ilvl w:val="0"/>
          <w:numId w:val="1002"/>
        </w:numPr>
        <w:pStyle w:val="Compact"/>
      </w:pPr>
      <w:r>
        <w:rPr>
          <w:bCs/>
          <w:b/>
        </w:rPr>
        <w:t xml:space="preserve">Phase 1 (Months 1-6):</w:t>
      </w:r>
      <w:r>
        <w:t xml:space="preserve"> </w:t>
      </w:r>
      <w:r>
        <w:t xml:space="preserve">Collaborate with Tokyo Metropolitan Government Health Bureau to secure ethical approvals and access anonymized health records from Tokyo's municipal health checkup program (reaching 500,000 annually).</w:t>
      </w:r>
    </w:p>
    <w:p>
      <w:pPr>
        <w:numPr>
          <w:ilvl w:val="0"/>
          <w:numId w:val="1002"/>
        </w:numPr>
        <w:pStyle w:val="Compact"/>
      </w:pPr>
      <w:r>
        <w:rPr>
          <w:bCs/>
          <w:b/>
        </w:rPr>
        <w:t xml:space="preserve">Phase 2 (Months 7-18):</w:t>
      </w:r>
      <w:r>
        <w:t xml:space="preserve"> </w:t>
      </w:r>
      <w:r>
        <w:t xml:space="preserve">Conduct genomic sequencing of blood samples from a stratified cohort (n=3,000) across Tokyo’s five wards with varying socioeconomic profiles. Integrate environmental data via Tokyo's "Green City" air quality sensors.</w:t>
      </w:r>
    </w:p>
    <w:p>
      <w:pPr>
        <w:numPr>
          <w:ilvl w:val="0"/>
          <w:numId w:val="1002"/>
        </w:numPr>
        <w:pStyle w:val="Compact"/>
      </w:pPr>
      <w:r>
        <w:rPr>
          <w:bCs/>
          <w:b/>
        </w:rPr>
        <w:t xml:space="preserve">Phase 3 (Months 19-24):</w:t>
      </w:r>
      <w:r>
        <w:t xml:space="preserve"> </w:t>
      </w:r>
      <w:r>
        <w:t xml:space="preserve">Train AI models on NVIDIA DGX systems at the RIKEN Center, validating predictions against clinical outcomes at St. Luke's International Hospital.</w:t>
      </w:r>
    </w:p>
    <w:p>
      <w:pPr>
        <w:numPr>
          <w:ilvl w:val="0"/>
          <w:numId w:val="1002"/>
        </w:numPr>
        <w:pStyle w:val="Compact"/>
      </w:pPr>
      <w:r>
        <w:rPr>
          <w:bCs/>
          <w:b/>
        </w:rPr>
        <w:t xml:space="preserve">Phase 4 (Months 25-36):</w:t>
      </w:r>
      <w:r>
        <w:t xml:space="preserve"> </w:t>
      </w:r>
      <w:r>
        <w:t xml:space="preserve">Pilot interventions in Tokyo Community Health Centers (e.g., Shinjuku Ward), measuring adherence rates and cost-effectiveness using Japan's "Healthcare Innovation Fund" metrics.</w:t>
      </w:r>
    </w:p>
    <w:bookmarkEnd w:id="24"/>
    <w:bookmarkStart w:id="25" w:name="significance-for-japan-tokyo"/>
    <w:p>
      <w:pPr>
        <w:pStyle w:val="Heading2"/>
      </w:pPr>
      <w:r>
        <w:t xml:space="preserve">Significance for Japan Tokyo</w:t>
      </w:r>
    </w:p>
    <w:p>
      <w:pPr>
        <w:pStyle w:val="FirstParagraph"/>
      </w:pPr>
      <w:r>
        <w:t xml:space="preserve">This research delivers transformative value for</w:t>
      </w:r>
      <w:r>
        <w:t xml:space="preserve"> </w:t>
      </w:r>
      <w:r>
        <w:rPr>
          <w:iCs/>
          <w:i/>
        </w:rPr>
        <w:t xml:space="preserve">Japan Tokyo</w:t>
      </w:r>
      <w:r>
        <w:t xml:space="preserve"> </w:t>
      </w:r>
      <w:r>
        <w:t xml:space="preserve">on three levels:</w:t>
      </w:r>
    </w:p>
    <w:p>
      <w:pPr>
        <w:numPr>
          <w:ilvl w:val="0"/>
          <w:numId w:val="1003"/>
        </w:numPr>
        <w:pStyle w:val="Compact"/>
      </w:pPr>
      <w:r>
        <w:rPr>
          <w:bCs/>
          <w:b/>
        </w:rPr>
        <w:t xml:space="preserve">Economic Impact:</w:t>
      </w:r>
      <w:r>
        <w:t xml:space="preserve"> </w:t>
      </w:r>
      <w:r>
        <w:t xml:space="preserve">By predicting high-risk patients early, the model could reduce Tokyo's annual dementia care costs (estimated at ¥15 trillion) by 22% through preventative care—aligning with Japan's "Society 5.0" vision for AI-driven healthcare.</w:t>
      </w:r>
    </w:p>
    <w:p>
      <w:pPr>
        <w:numPr>
          <w:ilvl w:val="0"/>
          <w:numId w:val="1003"/>
        </w:numPr>
        <w:pStyle w:val="Compact"/>
      </w:pPr>
      <w:r>
        <w:rPr>
          <w:bCs/>
          <w:b/>
        </w:rPr>
        <w:t xml:space="preserve">Health Equity:</w:t>
      </w:r>
      <w:r>
        <w:t xml:space="preserve"> </w:t>
      </w:r>
      <w:r>
        <w:t xml:space="preserve">Targeting Tokyo’s underserved areas (e.g., Ota Ward, where elderly poverty rates exceed national averages), the project ensures solutions prioritize accessibility over technology complexity—a critical consideration for Japan's diverse urban demographics.</w:t>
      </w:r>
    </w:p>
    <w:p>
      <w:pPr>
        <w:numPr>
          <w:ilvl w:val="0"/>
          <w:numId w:val="1003"/>
        </w:numPr>
        <w:pStyle w:val="Compact"/>
      </w:pPr>
      <w:r>
        <w:rPr>
          <w:bCs/>
          <w:b/>
        </w:rPr>
        <w:t xml:space="preserve">National Leadership:</w:t>
      </w:r>
      <w:r>
        <w:t xml:space="preserve"> </w:t>
      </w:r>
      <w:r>
        <w:t xml:space="preserve">As the first study to merge Tokyo's Smart City data with precision medicine at scale, this work will establish Japan as a global leader in aging research, directly supporting initiatives like the "Japan Medical Innovation Strategy 2030."</w:t>
      </w:r>
    </w:p>
    <w:bookmarkEnd w:id="25"/>
    <w:bookmarkStart w:id="26" w:name="timeline-and-resource-requirements"/>
    <w:p>
      <w:pPr>
        <w:pStyle w:val="Heading2"/>
      </w:pPr>
      <w:r>
        <w:t xml:space="preserve">Timeline and Resource Requirements</w:t>
      </w:r>
    </w:p>
    <w:p>
      <w:pPr>
        <w:pStyle w:val="FirstParagraph"/>
      </w:pPr>
      <w:r>
        <w:t xml:space="preserve">With Tokyo’s robust academic-industry partnerships (e.g., partnerships with Takeda Pharmaceuticals and SoftBank Health), this thesis requires:</w:t>
      </w:r>
    </w:p>
    <w:p>
      <w:pPr>
        <w:numPr>
          <w:ilvl w:val="0"/>
          <w:numId w:val="1004"/>
        </w:numPr>
        <w:pStyle w:val="Compact"/>
      </w:pPr>
      <w:r>
        <w:rPr>
          <w:bCs/>
          <w:b/>
        </w:rPr>
        <w:t xml:space="preserve">Personnel:</w:t>
      </w:r>
      <w:r>
        <w:t xml:space="preserve"> </w:t>
      </w:r>
      <w:r>
        <w:t xml:space="preserve">1 postdoctoral researcher, 2 bioinformatics specialists (to be recruited through Tokyo-based universities).</w:t>
      </w:r>
    </w:p>
    <w:p>
      <w:pPr>
        <w:numPr>
          <w:ilvl w:val="0"/>
          <w:numId w:val="1004"/>
        </w:numPr>
        <w:pStyle w:val="Compact"/>
      </w:pPr>
      <w:r>
        <w:rPr>
          <w:bCs/>
          <w:b/>
        </w:rPr>
        <w:t xml:space="preserve">Equipment:</w:t>
      </w:r>
      <w:r>
        <w:t xml:space="preserve"> </w:t>
      </w:r>
      <w:r>
        <w:t xml:space="preserve">Access to RIKEN’s high-throughput sequencing lab and Tokyo Tech’s AI infrastructure (funded via Japan Society for the Promotion of Science grants).</w:t>
      </w:r>
    </w:p>
    <w:p>
      <w:pPr>
        <w:numPr>
          <w:ilvl w:val="0"/>
          <w:numId w:val="1004"/>
        </w:numPr>
        <w:pStyle w:val="Compact"/>
      </w:pPr>
      <w:r>
        <w:rPr>
          <w:bCs/>
          <w:b/>
        </w:rPr>
        <w:t xml:space="preserve">Collaboration:</w:t>
      </w:r>
      <w:r>
        <w:t xml:space="preserve"> </w:t>
      </w:r>
      <w:r>
        <w:t xml:space="preserve">Formal MOUs with Tokyo Metropolitan Health Center and NCGG, ensuring data sharing compliance with Japan's Act on the Protection of Personal Information.</w:t>
      </w:r>
    </w:p>
    <w:bookmarkEnd w:id="26"/>
    <w:bookmarkStart w:id="27" w:name="expected-outcomes"/>
    <w:p>
      <w:pPr>
        <w:pStyle w:val="Heading2"/>
      </w:pPr>
      <w:r>
        <w:t xml:space="preserve">Expected Outcomes</w:t>
      </w:r>
    </w:p>
    <w:p>
      <w:pPr>
        <w:pStyle w:val="FirstParagraph"/>
      </w:pPr>
      <w:r>
        <w:t xml:space="preserve">I anticipate three major deliverables by completion: (1) A publicly accessible genomic database for Japanese aging populations; (2) An open-source AI toolkit validated in Tokyo’s clinical settings; and (3) Policy guidelines for integrating precision medicine into Tokyo's public health system. Critically, this</w:t>
      </w:r>
      <w:r>
        <w:t xml:space="preserve"> </w:t>
      </w:r>
      <w:r>
        <w:rPr>
          <w:iCs/>
          <w:i/>
        </w:rPr>
        <w:t xml:space="preserve">Thesis Proposal</w:t>
      </w:r>
      <w:r>
        <w:t xml:space="preserve"> </w:t>
      </w:r>
      <w:r>
        <w:t xml:space="preserve">positions the researcher as a bridge between Tokyo's cutting-edge institutions and real-world patient needs—proving that as a</w:t>
      </w:r>
      <w:r>
        <w:t xml:space="preserve"> </w:t>
      </w:r>
      <w:r>
        <w:rPr>
          <w:iCs/>
          <w:i/>
        </w:rPr>
        <w:t xml:space="preserve">Medical Researcher</w:t>
      </w:r>
      <w:r>
        <w:t xml:space="preserve">, I can translate data into actionable healthcare solutions for Japan’s most vulnerable citizens.</w:t>
      </w:r>
    </w:p>
    <w:bookmarkEnd w:id="27"/>
    <w:bookmarkStart w:id="28" w:name="conclusion"/>
    <w:p>
      <w:pPr>
        <w:pStyle w:val="Heading2"/>
      </w:pPr>
      <w:r>
        <w:t xml:space="preserve">Conclusion</w:t>
      </w:r>
    </w:p>
    <w:p>
      <w:pPr>
        <w:pStyle w:val="FirstParagraph"/>
      </w:pPr>
      <w:r>
        <w:t xml:space="preserve">In an era where Tokyo leads Japan’s charge toward a "Super Smart Society," this research transcends conventional medical study. It embodies the spirit of Japanese innovation—where technological advancement serves human dignity. By centering Tokyo as both the laboratory and beneficiary of this work, my thesis directly answers Japan's call for localized, sustainable healthcare solutions. I am committed to contributing not just to academic knowledge, but to transforming how Tokyo cares for its elders—a mission that defines the purpose of every</w:t>
      </w:r>
      <w:r>
        <w:t xml:space="preserve"> </w:t>
      </w:r>
      <w:r>
        <w:rPr>
          <w:iCs/>
          <w:i/>
        </w:rPr>
        <w:t xml:space="preserve">Medical Researcher</w:t>
      </w:r>
      <w:r>
        <w:t xml:space="preserve"> </w:t>
      </w:r>
      <w:r>
        <w:t xml:space="preserve">in 21st-century Japan.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Medicine for Aging Populations in Japan Tokyo</dc:title>
  <dc:creator/>
  <dc:language>en</dc:language>
  <cp:keywords/>
  <dcterms:created xsi:type="dcterms:W3CDTF">2026-07-23T20:53:56Z</dcterms:created>
  <dcterms:modified xsi:type="dcterms:W3CDTF">2026-07-23T20:53:56Z</dcterms:modified>
</cp:coreProperties>
</file>

<file path=docProps/custom.xml><?xml version="1.0" encoding="utf-8"?>
<Properties xmlns="http://schemas.openxmlformats.org/officeDocument/2006/custom-properties" xmlns:vt="http://schemas.openxmlformats.org/officeDocument/2006/docPropsVTypes"/>
</file>