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Russia</w:t>
      </w:r>
      <w:r>
        <w:t xml:space="preserve"> </w:t>
      </w:r>
      <w:r>
        <w:t xml:space="preserve">Moscow</w:t>
      </w:r>
    </w:p>
    <w:bookmarkStart w:id="28" w:name="Xb87cc390fc82e78f5cc5966d64cda9b32f28bba"/>
    <w:p>
      <w:pPr>
        <w:pStyle w:val="Heading1"/>
      </w:pPr>
      <w:r>
        <w:t xml:space="preserve">Thesis Proposal: Advancing the Role of the Medical Researcher in Russia Moscow within Contemporary Healthcare Innovation</w:t>
      </w:r>
    </w:p>
    <w:bookmarkStart w:id="20" w:name="introduction-and-contextual-framework"/>
    <w:p>
      <w:pPr>
        <w:pStyle w:val="Heading2"/>
      </w:pPr>
      <w:r>
        <w:t xml:space="preserve">Introduction and Contextual Framework</w:t>
      </w:r>
    </w:p>
    <w:p>
      <w:pPr>
        <w:pStyle w:val="FirstParagraph"/>
      </w:pPr>
      <w:r>
        <w:t xml:space="preserve">This Thesis Proposal outlines a critical investigation into the evolving role, challenges, and future trajectory of the Medical Researcher within the healthcare ecosystem of Russia Moscow. As one of the world's most significant biomedical hubs, Moscow serves as a pivotal center for medical science in Russia, hosting premier institutions such as the Pirogov National Medical Research Center (NMRRC), Sechenov University Faculty Hospital, and numerous federal clinical research centers. The Russian Federation has intensified its strategic focus on healthcare innovation through initiatives like the National Health Project and the "Digital Economy" program, placing heightened emphasis on evidence-based medicine and translational research. Within this dynamic environment, the Medical Researcher—defined as a professional dedicated to systematic investigation of biological mechanisms, disease pathogenesis, therapeutic interventions, and health outcomes—is central to advancing Russia's medical sovereignty. This proposal argues that a targeted analysis of the Medical Researcher’s operational context in Moscow is essential for optimizing national healthcare delivery and scientific competitiveness.</w:t>
      </w:r>
    </w:p>
    <w:bookmarkEnd w:id="20"/>
    <w:bookmarkStart w:id="21" w:name="problem-statement"/>
    <w:p>
      <w:pPr>
        <w:pStyle w:val="Heading2"/>
      </w:pPr>
      <w:r>
        <w:t xml:space="preserve">Problem Statement</w:t>
      </w:r>
    </w:p>
    <w:p>
      <w:pPr>
        <w:pStyle w:val="FirstParagraph"/>
      </w:pPr>
      <w:r>
        <w:t xml:space="preserve">Despite Moscow's status as Russia's medical capital, a significant gap exists in understanding the structural, institutional, and professional challenges confronting the Medical Researcher within Russian healthcare frameworks. Current literature often generalizes across Russian regions or focuses narrowly on Western models, neglecting Moscow’s unique ecosystem of state-funded research hospitals integrated with academic institutions like the Russian Academy of Sciences (RAS) and Skolkovo Innovation Center. Key issues include fragmented funding streams, bureaucratic barriers in clinical trial authorization, limited interdisciplinary collaboration between physicians and laboratory-based researchers, and insufficient alignment of research priorities with Moscow’s public health burdens (e.g., cardiovascular diseases, oncology, neurodegenerative disorders). Without addressing these systemic challenges through a Moscow-specific lens, Russia risks stagnating in medical innovation despite substantial national investment in healthcare infrastructure. This Thesis Proposal directly confronts this gap.</w:t>
      </w:r>
    </w:p>
    <w:bookmarkEnd w:id="21"/>
    <w:bookmarkStart w:id="22" w:name="literature-review-and-knowledge-gap"/>
    <w:p>
      <w:pPr>
        <w:pStyle w:val="Heading2"/>
      </w:pPr>
      <w:r>
        <w:t xml:space="preserve">Literature Review and Knowledge Gap</w:t>
      </w:r>
    </w:p>
    <w:p>
      <w:pPr>
        <w:pStyle w:val="FirstParagraph"/>
      </w:pPr>
      <w:r>
        <w:t xml:space="preserve">Existing scholarship on Medical Researcher roles predominantly draws from European or North American contexts (e.g., work by Sarewitz &amp; Nelson, 2005; WHO reports on health systems). Russian-language studies (e.g., Ivanov et al., 2021; "Russian Medical Journal") acknowledge systemic hurdles but lack granular analysis of Moscow's institutional architecture. Notably, no comprehensive study has examined how Moscow’s dual mandate—as both a national healthcare leader and a testing ground for Russia’s medical innovation policies—shapes the day-to-day work, career progression, and research output of Medical Researchers. This Thesis Proposal bridges that critical gap by situating the role within Moscow's specific policy landscape (e.g., 2021 Federal Law on Scientific Activity) and its unique public-private research partnerships.</w:t>
      </w:r>
    </w:p>
    <w:bookmarkEnd w:id="22"/>
    <w:bookmarkStart w:id="23" w:name="research-objectives"/>
    <w:p>
      <w:pPr>
        <w:pStyle w:val="Heading2"/>
      </w:pPr>
      <w:r>
        <w:t xml:space="preserve">Research Objectives</w:t>
      </w:r>
    </w:p>
    <w:p>
      <w:pPr>
        <w:pStyle w:val="FirstParagraph"/>
      </w:pPr>
      <w:r>
        <w:t xml:space="preserve">This Thesis Proposal aims to achieve three core objectives:</w:t>
      </w:r>
    </w:p>
    <w:p>
      <w:pPr>
        <w:numPr>
          <w:ilvl w:val="0"/>
          <w:numId w:val="1001"/>
        </w:numPr>
        <w:pStyle w:val="Compact"/>
      </w:pPr>
      <w:r>
        <w:t xml:space="preserve">To map the institutional pathways, funding mechanisms, and regulatory frameworks governing Medical Researchers in Moscow-based healthcare institutions.</w:t>
      </w:r>
    </w:p>
    <w:p>
      <w:pPr>
        <w:numPr>
          <w:ilvl w:val="0"/>
          <w:numId w:val="1001"/>
        </w:numPr>
        <w:pStyle w:val="Compact"/>
      </w:pPr>
      <w:r>
        <w:t xml:space="preserve">To evaluate the impact of interdisciplinary collaboration (e.g., between clinical units at Moscow City Clinical Hospital No. 1 and molecular biology labs at MSU) on research efficiency and translational outcomes.</w:t>
      </w:r>
    </w:p>
    <w:p>
      <w:pPr>
        <w:numPr>
          <w:ilvl w:val="0"/>
          <w:numId w:val="1001"/>
        </w:numPr>
        <w:pStyle w:val="Compact"/>
      </w:pPr>
      <w:r>
        <w:t xml:space="preserve">To develop evidence-based recommendations for policy reforms that enhance the strategic value of the Medical Researcher within Russia’s national healthcare strategy, with Moscow as the model for replication.</w:t>
      </w:r>
    </w:p>
    <w:bookmarkEnd w:id="23"/>
    <w:bookmarkStart w:id="24" w:name="methodology"/>
    <w:p>
      <w:pPr>
        <w:pStyle w:val="Heading2"/>
      </w:pPr>
      <w:r>
        <w:t xml:space="preserve">Methodology</w:t>
      </w:r>
    </w:p>
    <w:p>
      <w:pPr>
        <w:pStyle w:val="FirstParagraph"/>
      </w:pPr>
      <w:r>
        <w:t xml:space="preserve">A mixed-methods approach will be employed, ensuring rigor and contextual relevance to Russia Moscow. Phase 1 involves qualitative analysis: semi-structured interviews (n=30) with Medical Researchers at 5 leading Moscow institutions (including NMRRC, Burdenko Neurosurgery Institute, and I.M. Sechenov First Moscow State Medical University), supplemented by document review of institutional R&amp;D policies and national funding guidelines. Phase 2 employs quantitative analysis: survey data from 150+ Medical Researchers across Moscow hospitals to measure productivity metrics (e.g., publication rate, grant success, clinical trial initiation time) against institutional factors (e.g., departmental support, IT infrastructure). All data collection adheres to Russian ethical standards under the approval of Moscow State University’s Research Ethics Board. Statistical analysis will utilize SPSS for regression modeling correlating institutional variables with research outcomes.</w:t>
      </w:r>
    </w:p>
    <w:bookmarkEnd w:id="24"/>
    <w:bookmarkStart w:id="25" w:name="significance-to-russia-moscow"/>
    <w:p>
      <w:pPr>
        <w:pStyle w:val="Heading2"/>
      </w:pPr>
      <w:r>
        <w:t xml:space="preserve">Significance to Russia Moscow</w:t>
      </w:r>
    </w:p>
    <w:p>
      <w:pPr>
        <w:pStyle w:val="FirstParagraph"/>
      </w:pPr>
      <w:r>
        <w:t xml:space="preserve">This Thesis Proposal holds direct significance for Russia’s healthcare priorities and Moscow’s ambition to become a global medical innovation leader. By pinpointing inefficiencies in how Medical Researchers operate within the city's ecosystem, findings will provide actionable intelligence for policymakers at the Ministry of Health (Moscow-based) and institutions like the Russian Foundation for Basic Research (RFBR). For instance, recommendations could streamline clinical trial approvals or incentivize cross-institutional data-sharing—addressing Moscow’s current rank in WHO health innovation metrics. Moreover, this research directly supports Russia's 2030 Healthcare Strategy, which prioritizes "domestic biomedical solutions" and positions Moscow as the national epicenter for advanced medical R&amp;D. Success here will not only elevate Moscow’s standing but also strengthen Russia’s capacity to reduce dependency on imported pharmaceuticals and diagnostic technologies.</w:t>
      </w:r>
    </w:p>
    <w:bookmarkEnd w:id="25"/>
    <w:bookmarkStart w:id="26" w:name="expected-contributions"/>
    <w:p>
      <w:pPr>
        <w:pStyle w:val="Heading2"/>
      </w:pPr>
      <w:r>
        <w:t xml:space="preserve">Expected Contributions</w:t>
      </w:r>
    </w:p>
    <w:p>
      <w:pPr>
        <w:pStyle w:val="FirstParagraph"/>
      </w:pPr>
      <w:r>
        <w:t xml:space="preserve">This Thesis Proposal promises four key contributions: (1) A pioneering empirical framework detailing the operational realities of the Medical Researcher in Russia Moscow; (2) Policy briefs for Russian federal and municipal health authorities to optimize research infrastructure; (3) A replicable methodology adaptable to other Russian regions; and (4) Enhanced professional development pathways for Medical Researchers within Moscow’s academic-industry nexus. Crucially, it shifts focus from generic "research capacity" to the specific human element—the skilled Medical Researcher—whose expertise is Russia's most vital medical resource.</w:t>
      </w:r>
    </w:p>
    <w:bookmarkEnd w:id="26"/>
    <w:bookmarkStart w:id="27" w:name="conclusion"/>
    <w:p>
      <w:pPr>
        <w:pStyle w:val="Heading2"/>
      </w:pPr>
      <w:r>
        <w:t xml:space="preserve">Conclusion</w:t>
      </w:r>
    </w:p>
    <w:p>
      <w:pPr>
        <w:pStyle w:val="FirstParagraph"/>
      </w:pPr>
      <w:r>
        <w:t xml:space="preserve">The role of the Medical Researcher in Russia Moscow transcends individual scientific contribution; it is foundational to national health resilience and technological self-sufficiency. This Thesis Proposal provides a rigorous, actionable roadmap to empower this profession within Moscow’s unique context, directly addressing Russia's strategic healthcare imperatives. By grounding research in Moscow's operational realities—from its historic clinics to cutting-edge biotech parks—the proposal ensures its findings will resonate with policymakers, institutions, and researchers across the Russian Federation. Ultimately, this work is not merely academic; it is a critical step toward building a robust, innovative medical research ecosystem where the Medical Researcher’s potential is fully realized for the benefit of Russia and its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Medical Researcher in Russia Moscow</dc:title>
  <dc:creator/>
  <dc:language>en</dc:language>
  <cp:keywords/>
  <dcterms:created xsi:type="dcterms:W3CDTF">2026-07-21T08:26:11Z</dcterms:created>
  <dcterms:modified xsi:type="dcterms:W3CDTF">2026-07-21T08:26:11Z</dcterms:modified>
</cp:coreProperties>
</file>

<file path=docProps/custom.xml><?xml version="1.0" encoding="utf-8"?>
<Properties xmlns="http://schemas.openxmlformats.org/officeDocument/2006/custom-properties" xmlns:vt="http://schemas.openxmlformats.org/officeDocument/2006/docPropsVTypes"/>
</file>