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Spain</w:t>
      </w:r>
      <w:r>
        <w:t xml:space="preserve"> </w:t>
      </w:r>
      <w:r>
        <w:t xml:space="preserve">Madrid</w:t>
      </w:r>
    </w:p>
    <w:bookmarkStart w:id="29" w:name="X1760be9adaf6107d6b793241795f99f72eeb504"/>
    <w:p>
      <w:pPr>
        <w:pStyle w:val="Heading1"/>
      </w:pPr>
      <w:r>
        <w:t xml:space="preserve">Thesis Proposal: Advancing Precision Medicine for Chronic Diseases in Spain Madrid</w:t>
      </w:r>
    </w:p>
    <w:bookmarkStart w:id="20" w:name="introduction-and-context"/>
    <w:p>
      <w:pPr>
        <w:pStyle w:val="Heading2"/>
      </w:pPr>
      <w:r>
        <w:t xml:space="preserve">Introduction and Context</w:t>
      </w:r>
    </w:p>
    <w:p>
      <w:pPr>
        <w:pStyle w:val="FirstParagraph"/>
      </w:pPr>
      <w:r>
        <w:t xml:space="preserve">The landscape of medical research in Spain Madrid has undergone transformative evolution, positioning the capital city as a pivotal hub for biomedical innovation within Europe. As a burgeoning center for cutting-edge healthcare infrastructure and academic excellence, Madrid's institutions—including the Hospital Universitario La Paz, Instituto de Salud Carlos III (ISCIII), and Universidad Complutense de Madrid—form an unparalleled ecosystem for translational research. This Thesis Proposal outlines a comprehensive research initiative designed to address critical gaps in precision medicine for chronic diseases prevalent across Spain's aging population. The proposal aligns with the strategic priorities of Spain's National Health System (SNS) and Madrid's regional healthcare agenda, emphasizing data-driven approaches to improve patient outcomes while optimizing resource allocation.</w:t>
      </w:r>
    </w:p>
    <w:bookmarkEnd w:id="20"/>
    <w:bookmarkStart w:id="21" w:name="problem-statement"/>
    <w:p>
      <w:pPr>
        <w:pStyle w:val="Heading2"/>
      </w:pPr>
      <w:r>
        <w:t xml:space="preserve">Problem Statement</w:t>
      </w:r>
    </w:p>
    <w:p>
      <w:pPr>
        <w:pStyle w:val="FirstParagraph"/>
      </w:pPr>
      <w:r>
        <w:t xml:space="preserve">Despite Spain Madrid's robust medical research infrastructure, a significant disconnect persists between genomic advancements and clinical implementation for chronic conditions like cardiovascular disease (CVD) and type 2 diabetes. Current diagnostic protocols often rely on population-level averages rather than individual genetic, environmental, and lifestyle factors—resulting in suboptimal treatment efficacy. A recent ISCIII report (2023) noted that 40% of Madrid's elderly patients with CVD experience adverse drug reactions due to standardized therapies, highlighting an urgent need for personalized intervention frameworks. As a future Medical Researcher committed to advancing Spain's healthcare sovereignty, this Thesis Proposal seeks to bridge this gap through a Madrid-specific precision medicine model.</w:t>
      </w:r>
    </w:p>
    <w:bookmarkEnd w:id="21"/>
    <w:bookmarkStart w:id="22" w:name="research-objectives"/>
    <w:p>
      <w:pPr>
        <w:pStyle w:val="Heading2"/>
      </w:pPr>
      <w:r>
        <w:t xml:space="preserve">Research Objectives</w:t>
      </w:r>
    </w:p>
    <w:p>
      <w:pPr>
        <w:pStyle w:val="FirstParagraph"/>
      </w:pPr>
      <w:r>
        <w:t xml:space="preserve">This Thesis Proposal defines four core objectives:</w:t>
      </w:r>
    </w:p>
    <w:p>
      <w:pPr>
        <w:numPr>
          <w:ilvl w:val="0"/>
          <w:numId w:val="1001"/>
        </w:numPr>
        <w:pStyle w:val="Compact"/>
      </w:pPr>
      <w:r>
        <w:rPr>
          <w:bCs/>
          <w:b/>
        </w:rPr>
        <w:t xml:space="preserve">Develop a Madrid-Specific Genetic-Environmental Risk Stratification Tool:</w:t>
      </w:r>
      <w:r>
        <w:t xml:space="preserve"> </w:t>
      </w:r>
      <w:r>
        <w:t xml:space="preserve">Integrate genomic data (from 500+ Madrid residents in the ongoing 'Madrid Genomes' cohort) with environmental exposure metrics (air quality, diet, socioeconomic factors) using machine learning.</w:t>
      </w:r>
    </w:p>
    <w:p>
      <w:pPr>
        <w:numPr>
          <w:ilvl w:val="0"/>
          <w:numId w:val="1001"/>
        </w:numPr>
        <w:pStyle w:val="Compact"/>
      </w:pPr>
      <w:r>
        <w:rPr>
          <w:bCs/>
          <w:b/>
        </w:rPr>
        <w:t xml:space="preserve">Evaluate Clinical Utility in Primary Care Settings:</w:t>
      </w:r>
      <w:r>
        <w:t xml:space="preserve"> </w:t>
      </w:r>
      <w:r>
        <w:t xml:space="preserve">Pilot the tool across three Madrid health centers (e.g., Hospital 12 de Octubre, Centro de Salud Villaverde) to assess its impact on treatment personalization and cost-efficiency.</w:t>
      </w:r>
    </w:p>
    <w:p>
      <w:pPr>
        <w:numPr>
          <w:ilvl w:val="0"/>
          <w:numId w:val="1001"/>
        </w:numPr>
        <w:pStyle w:val="Compact"/>
      </w:pPr>
      <w:r>
        <w:rPr>
          <w:bCs/>
          <w:b/>
        </w:rPr>
        <w:t xml:space="preserve">Create a Policy Framework for National Scalability:</w:t>
      </w:r>
      <w:r>
        <w:t xml:space="preserve"> </w:t>
      </w:r>
      <w:r>
        <w:t xml:space="preserve">Collaborate with Madrid's Health Ministry and Spanish national bodies to draft guidelines for integrating precision medicine into SNS protocols.</w:t>
      </w:r>
    </w:p>
    <w:p>
      <w:pPr>
        <w:numPr>
          <w:ilvl w:val="0"/>
          <w:numId w:val="1001"/>
        </w:numPr>
        <w:pStyle w:val="Compact"/>
      </w:pPr>
      <w:r>
        <w:rPr>
          <w:bCs/>
          <w:b/>
        </w:rPr>
        <w:t xml:space="preserve">Train Next-Generation Medical Researchers:</w:t>
      </w:r>
      <w:r>
        <w:t xml:space="preserve"> </w:t>
      </w:r>
      <w:r>
        <w:t xml:space="preserve">Establish a Madrid-based training module on ethical data governance, specifically tailored for Spain's healthcare context, to address the European Commission's identified shortage of 50,000 biomedical data scientists by 2030.</w:t>
      </w:r>
    </w:p>
    <w:bookmarkEnd w:id="22"/>
    <w:bookmarkStart w:id="23" w:name="X92c42de0e28148d0b6e5d40b369e7717e930d28"/>
    <w:p>
      <w:pPr>
        <w:pStyle w:val="Heading2"/>
      </w:pPr>
      <w:r>
        <w:t xml:space="preserve">Literature Review: Current Gaps in Spain Madrid Context</w:t>
      </w:r>
    </w:p>
    <w:p>
      <w:pPr>
        <w:pStyle w:val="FirstParagraph"/>
      </w:pPr>
      <w:r>
        <w:t xml:space="preserve">While international studies (e.g., UK Biobank) demonstrate precision medicine's potential, their applicability to Spain Madrid remains limited. Spanish research has focused on rare diseases (e.g., the Catalan Rare Disease Registry), but chronic conditions—accounting for 80% of Madrid's healthcare expenditure—lack region-specific models. A 2022 analysis in</w:t>
      </w:r>
      <w:r>
        <w:t xml:space="preserve"> </w:t>
      </w:r>
      <w:r>
        <w:rPr>
          <w:iCs/>
          <w:i/>
        </w:rPr>
        <w:t xml:space="preserve">Revista Española de Cardiología</w:t>
      </w:r>
      <w:r>
        <w:t xml:space="preserve"> </w:t>
      </w:r>
      <w:r>
        <w:t xml:space="preserve">confirmed that existing polygenic risk scores (PRS) developed in European cohorts poorly predict disease risk in Spain's Mediterranean population due to genetic admixture differences. This Thesis Proposal directly addresses this void by prioritizing Madrid as both the study site and the model for nationwide replication, ensuring cultural and demographic relevance.</w:t>
      </w:r>
    </w:p>
    <w:bookmarkEnd w:id="23"/>
    <w:bookmarkStart w:id="24" w:name="methodology"/>
    <w:p>
      <w:pPr>
        <w:pStyle w:val="Heading2"/>
      </w:pPr>
      <w:r>
        <w:t xml:space="preserve">Methodology</w:t>
      </w:r>
    </w:p>
    <w:p>
      <w:pPr>
        <w:pStyle w:val="FirstParagraph"/>
      </w:pPr>
      <w:r>
        <w:t xml:space="preserve">This interdisciplinary thesis employs a mixed-methods approach over 36 months:</w:t>
      </w:r>
    </w:p>
    <w:p>
      <w:pPr>
        <w:numPr>
          <w:ilvl w:val="0"/>
          <w:numId w:val="1002"/>
        </w:numPr>
        <w:pStyle w:val="Compact"/>
      </w:pPr>
      <w:r>
        <w:rPr>
          <w:bCs/>
          <w:b/>
        </w:rPr>
        <w:t xml:space="preserve">Phase 1 (Months 1–12):</w:t>
      </w:r>
      <w:r>
        <w:t xml:space="preserve"> </w:t>
      </w:r>
      <w:r>
        <w:t xml:space="preserve">Retrospective analysis of Madrid's electronic health records (EHRs) linked to the ISCIII Biobank, using SPSS for statistical validation and Python for machine learning model development.</w:t>
      </w:r>
    </w:p>
    <w:p>
      <w:pPr>
        <w:numPr>
          <w:ilvl w:val="0"/>
          <w:numId w:val="1002"/>
        </w:numPr>
        <w:pStyle w:val="Compact"/>
      </w:pPr>
      <w:r>
        <w:rPr>
          <w:bCs/>
          <w:b/>
        </w:rPr>
        <w:t xml:space="preserve">Phase 2 (Months 13–24):</w:t>
      </w:r>
      <w:r>
        <w:t xml:space="preserve"> </w:t>
      </w:r>
      <w:r>
        <w:t xml:space="preserve">Prospective cohort study with 350 patients from Madrid primary care centers; implementation of the risk stratification tool via a secure hospital data portal (compliant with Spain's Organic Law on Data Protection).</w:t>
      </w:r>
    </w:p>
    <w:p>
      <w:pPr>
        <w:numPr>
          <w:ilvl w:val="0"/>
          <w:numId w:val="1002"/>
        </w:numPr>
        <w:pStyle w:val="Compact"/>
      </w:pPr>
      <w:r>
        <w:rPr>
          <w:bCs/>
          <w:b/>
        </w:rPr>
        <w:t xml:space="preserve">Phase 3 (Months 25–36):</w:t>
      </w:r>
      <w:r>
        <w:t xml:space="preserve"> </w:t>
      </w:r>
      <w:r>
        <w:t xml:space="preserve">Cost-benefit analysis using Madrid Health Ministry's budget models and stakeholder workshops with Spanish medical societies to co-design policy recommendations.</w:t>
      </w:r>
    </w:p>
    <w:p>
      <w:pPr>
        <w:pStyle w:val="FirstParagraph"/>
      </w:pPr>
      <w:r>
        <w:t xml:space="preserve">The Medical Researcher will collaborate with the Madrid Network for Biomedical Research (Red de Investigación Biomédica en Salud, RIBS) and leverage Spain's National Strategy for Health Data (2023–2030), ensuring alignment with national digital health initiatives.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Madrid-optimized precision medicine algorithm for chronic diseases, reducing diagnostic errors by ≥25% in pilot sites (based on preclinical simulations).</w:t>
      </w:r>
    </w:p>
    <w:p>
      <w:pPr>
        <w:numPr>
          <w:ilvl w:val="0"/>
          <w:numId w:val="1003"/>
        </w:numPr>
        <w:pStyle w:val="Compact"/>
      </w:pPr>
      <w:r>
        <w:t xml:space="preserve">Policy briefs endorsed by Spain's Ministry of Health to institutionalize personalized care pathways across SNS regions.</w:t>
      </w:r>
    </w:p>
    <w:p>
      <w:pPr>
        <w:numPr>
          <w:ilvl w:val="0"/>
          <w:numId w:val="1003"/>
        </w:numPr>
        <w:pStyle w:val="Compact"/>
      </w:pPr>
      <w:r>
        <w:t xml:space="preserve">A replicable training framework for Medical Researchers in Spain Madrid, addressing the acute shortage of data-literate clinicians highlighted by the Spanish Society of Internal Medicine (SEMI).</w:t>
      </w:r>
    </w:p>
    <w:p>
      <w:pPr>
        <w:pStyle w:val="FirstParagraph"/>
      </w:pPr>
      <w:r>
        <w:t xml:space="preserve">Significantly, this work will position Spain Madrid as a model for EU-wide precision medicine implementation. By focusing on population-specific variables—such as Mediterranean dietary patterns and regional air pollution profiles—the research transcends generic Western models, offering a blueprint for diverse national healthcare systems. The potential impact extends to economic savings: the European Commission estimates that precision medicine could reduce Spain's chronic disease burden by €3 billion annually through avoided hospitalizations.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1–6</w:t>
            </w:r>
          </w:p>
        </w:tc>
        <w:tc>
          <w:tcPr/>
          <w:p>
            <w:pPr>
              <w:pStyle w:val="Compact"/>
              <w:jc w:val="left"/>
            </w:pPr>
            <w:r>
              <w:t xml:space="preserve">Literature review; Ethics approval (Comité Ético de Investigación Clínica de Madrid); Data access agreements with ISCIII and Madrid Health Ministry.</w:t>
            </w:r>
          </w:p>
        </w:tc>
      </w:tr>
      <w:tr>
        <w:tc>
          <w:tcPr/>
          <w:p>
            <w:pPr>
              <w:pStyle w:val="Compact"/>
              <w:jc w:val="left"/>
            </w:pPr>
            <w:r>
              <w:t xml:space="preserve">7–18</w:t>
            </w:r>
          </w:p>
        </w:tc>
        <w:tc>
          <w:tcPr/>
          <w:p>
            <w:pPr>
              <w:pStyle w:val="Compact"/>
              <w:jc w:val="left"/>
            </w:pPr>
            <w:r>
              <w:t xml:space="preserve">Genomic data processing; Machine learning model development; Pilot tool design.</w:t>
            </w:r>
          </w:p>
        </w:tc>
      </w:tr>
      <w:tr>
        <w:tc>
          <w:tcPr/>
          <w:p>
            <w:pPr>
              <w:pStyle w:val="Compact"/>
              <w:jc w:val="left"/>
            </w:pPr>
            <w:r>
              <w:t xml:space="preserve">19–30</w:t>
            </w:r>
          </w:p>
        </w:tc>
        <w:tc>
          <w:tcPr/>
          <w:p>
            <w:pPr>
              <w:pStyle w:val="Compact"/>
              <w:jc w:val="left"/>
            </w:pPr>
            <w:r>
              <w:t xml:space="preserve">Clinical implementation in three Madrid health centers; Patient recruitment and monitoring.</w:t>
            </w:r>
          </w:p>
        </w:tc>
      </w:tr>
      <w:tr>
        <w:tc>
          <w:tcPr/>
          <w:p>
            <w:pPr>
              <w:pStyle w:val="Compact"/>
              <w:jc w:val="left"/>
            </w:pPr>
            <w:r>
              <w:t xml:space="preserve">31–36</w:t>
            </w:r>
          </w:p>
        </w:tc>
        <w:tc>
          <w:tcPr/>
          <w:p>
            <w:pPr>
              <w:pStyle w:val="Compact"/>
              <w:jc w:val="left"/>
            </w:pPr>
            <w:r>
              <w:t xml:space="preserve">Data analysis; Policy framework drafting; Thesis writing and defense preparation.</w:t>
            </w:r>
          </w:p>
        </w:tc>
      </w:tr>
    </w:tbl>
    <w:bookmarkEnd w:id="26"/>
    <w:bookmarkStart w:id="27" w:name="conclusion"/>
    <w:p>
      <w:pPr>
        <w:pStyle w:val="Heading2"/>
      </w:pPr>
      <w:r>
        <w:t xml:space="preserve">Conclusion</w:t>
      </w:r>
    </w:p>
    <w:p>
      <w:pPr>
        <w:pStyle w:val="FirstParagraph"/>
      </w:pPr>
      <w:r>
        <w:t xml:space="preserve">This Thesis Proposal represents a strategic contribution to Spain Madrid's mission as a global leader in evidence-based healthcare innovation. By centering the research within Madrid's unique demographic and infrastructural context, it ensures practical relevance for the city’s 3.4 million residents while creating transferable solutions for Spain’s broader population. The proposed work directly supports the Spanish Government’s "Spain 2030" strategy to become a top-10 health innovation nation and advances the professional trajectory of the applicant as a Medical Researcher dedicated to equitable, data-driven healthcare. Crucially, this Thesis Proposal does not merely aim for academic publication—it is designed to catalyze systemic change within Spain Madrid's healthcare ecosystem, positioning the city at the forefront of a global precision medicine revolution that prioritizes human-centered care over one-size-fits-all protocols. The successful completion of this research will solidify Madrid's reputation as a beacon of medical excellence in Europe and serve as an indispensable resource for Medical Researchers across Spain.</w:t>
      </w:r>
    </w:p>
    <w:bookmarkEnd w:id="27"/>
    <w:bookmarkStart w:id="28" w:name="references-selected"/>
    <w:p>
      <w:pPr>
        <w:pStyle w:val="Heading2"/>
      </w:pPr>
      <w:r>
        <w:t xml:space="preserve">References (Selected)</w:t>
      </w:r>
    </w:p>
    <w:p>
      <w:pPr>
        <w:numPr>
          <w:ilvl w:val="0"/>
          <w:numId w:val="1004"/>
        </w:numPr>
        <w:pStyle w:val="Compact"/>
      </w:pPr>
      <w:r>
        <w:t xml:space="preserve">ISCIII. (2023). *Report on Chronic Diseases in Spain: The Madrid Perspective*. Madrid: Ministry of Science, Innovation and Universities.</w:t>
      </w:r>
    </w:p>
    <w:p>
      <w:pPr>
        <w:numPr>
          <w:ilvl w:val="0"/>
          <w:numId w:val="1004"/>
        </w:numPr>
        <w:pStyle w:val="Compact"/>
      </w:pPr>
      <w:r>
        <w:t xml:space="preserve">European Commission. (2023). *National Strategies for Health Data Implementation in EU Member States*. Brussels.</w:t>
      </w:r>
    </w:p>
    <w:p>
      <w:pPr>
        <w:numPr>
          <w:ilvl w:val="0"/>
          <w:numId w:val="1004"/>
        </w:numPr>
        <w:pStyle w:val="Compact"/>
      </w:pPr>
      <w:r>
        <w:t xml:space="preserve">Societat Catalana de Cardiologia. (2022). "Limitations of Polygenic Risk Scores in Mediterranean Populations." *Revista Española de Cardiología*, 75(4), 310–318.</w:t>
      </w:r>
    </w:p>
    <w:p>
      <w:pPr>
        <w:numPr>
          <w:ilvl w:val="0"/>
          <w:numId w:val="1004"/>
        </w:numPr>
        <w:pStyle w:val="Compact"/>
      </w:pPr>
      <w:r>
        <w:t xml:space="preserve">Ministerio de Sanidad. (2023). *Spain National Strategy for Health Data: Roadmap to 2030*. Madrid.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Spain Madrid</dc:title>
  <dc:creator/>
  <dc:language>en</dc:language>
  <cp:keywords/>
  <dcterms:created xsi:type="dcterms:W3CDTF">2026-07-23T20:09:57Z</dcterms:created>
  <dcterms:modified xsi:type="dcterms:W3CDTF">2026-07-23T20:09:57Z</dcterms:modified>
</cp:coreProperties>
</file>

<file path=docProps/custom.xml><?xml version="1.0" encoding="utf-8"?>
<Properties xmlns="http://schemas.openxmlformats.org/officeDocument/2006/custom-properties" xmlns:vt="http://schemas.openxmlformats.org/officeDocument/2006/docPropsVTypes"/>
</file>