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2e186fff2fb7448afda70e5553135003280ca4f"/>
    <w:p>
      <w:pPr>
        <w:pStyle w:val="Heading1"/>
      </w:pPr>
      <w:r>
        <w:t xml:space="preserve">Thesis Proposal: Advancing Precision Medicine for Cardiovascular Health Equity in United States Miami's Diverse Urban Population</w:t>
      </w:r>
    </w:p>
    <w:bookmarkStart w:id="20" w:name="introduction-and-context"/>
    <w:p>
      <w:pPr>
        <w:pStyle w:val="Heading2"/>
      </w:pPr>
      <w:r>
        <w:t xml:space="preserve">Introduction and Context</w:t>
      </w:r>
    </w:p>
    <w:p>
      <w:pPr>
        <w:pStyle w:val="FirstParagraph"/>
      </w:pPr>
      <w:r>
        <w:t xml:space="preserve">This Thesis Proposal outlines a groundbreaking research initiative designed to address critical health disparities in cardiovascular disease (CVD) management within the unique demographic landscape of United States Miami. As a dedicated Medical Researcher with extensive experience in urban health epidemiology, I propose this study to leverage Miami's position as one of America's most culturally diverse metropolitan centers—where over 70% of residents identify as Hispanic/Latino and significant Black, Caribbean, and South American communities coexist—to develop precision medicine frameworks that account for genetic, environmental, and socioeconomic variables. The urgency for this research is underscored by Miami-Dade County's CVD mortality rate (212 per 100,000) exceeding the national average by 18%, with marginalized communities bearing the highest burden. This Thesis Proposal establishes a roadmap for innovative medical research that directly responds to Miami's health equity challenges while contributing to national standards in translational science.</w:t>
      </w:r>
    </w:p>
    <w:bookmarkEnd w:id="20"/>
    <w:bookmarkStart w:id="21" w:name="problem-statement-and-research-gap"/>
    <w:p>
      <w:pPr>
        <w:pStyle w:val="Heading2"/>
      </w:pPr>
      <w:r>
        <w:t xml:space="preserve">Problem Statement and Research Gap</w:t>
      </w:r>
    </w:p>
    <w:p>
      <w:pPr>
        <w:pStyle w:val="FirstParagraph"/>
      </w:pPr>
      <w:r>
        <w:t xml:space="preserve">Current cardiovascular interventions in United States Miami operate within a fragmented system that fails to address the confluence of genetic predispositions, environmental stressors (e.g., air pollution from traffic corridors), and cultural barriers to care. Existing clinical guidelines predominantly derive from homogenous European-American cohorts, rendering them suboptimal for Miami's polyethnic population. A 2023 CDC report revealed that Hispanic residents in Miami face a 40% higher risk of undiagnosed hypertension compared to non-Hispanic Whites, while Haitian and Cuban communities experience distinct medication adherence challenges rooted in language barriers and distrust of medical institutions. This gap represents a critical failure in translational research—where laboratory findings do not translate into equitable community outcomes. As a Medical Researcher, I will address this by designing the first multi-omic study integrating genomics with social determinants of health (SDOH) specifically calibrated for Miami's demographic mosaic.</w:t>
      </w:r>
    </w:p>
    <w:bookmarkEnd w:id="21"/>
    <w:bookmarkStart w:id="22" w:name="X7796daf95009a7ae091f0d908b2d3176c57e188"/>
    <w:p>
      <w:pPr>
        <w:pStyle w:val="Heading2"/>
      </w:pPr>
      <w:r>
        <w:t xml:space="preserve">Literature Review and Theoretical Framework</w:t>
      </w:r>
    </w:p>
    <w:p>
      <w:pPr>
        <w:pStyle w:val="FirstParagraph"/>
      </w:pPr>
      <w:r>
        <w:t xml:space="preserve">Recent studies (e.g., Rodriguez et al., 2022 in *Journal of Urban Health*) demonstrate that genomic markers linked to CVD risk vary significantly across ethnic groups, yet few initiatives have deployed such findings in real-world Miami settings. The NIH's All of Us Research Program has made strides in biobanking but lacks Miami-specific data stratification. This Proposal builds on the Social Ecological Model (SEM), which posits that health outcomes emerge from interactions between individual biology, community contexts, and policy environments—critical for understanding Miami's complex urban ecosystem. By marrying SEM with precision medicine principles, this research transcends conventional approaches that treat race as a proxy variable rather than a nuanced intersection of genetics and lived experience.</w:t>
      </w:r>
    </w:p>
    <w:bookmarkEnd w:id="22"/>
    <w:bookmarkStart w:id="23"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To identify population-specific genetic variants associated with CVD progression in Miami's three largest ethnic cohorts (Cuban, Haitian, Puerto Rican) through whole-genome sequencing of 1,500 diverse participants.</w:t>
      </w:r>
    </w:p>
    <w:p>
      <w:pPr>
        <w:numPr>
          <w:ilvl w:val="0"/>
          <w:numId w:val="1001"/>
        </w:numPr>
        <w:pStyle w:val="Compact"/>
      </w:pPr>
      <w:r>
        <w:rPr>
          <w:bCs/>
          <w:b/>
        </w:rPr>
        <w:t xml:space="preserve">Secondary Objective:</w:t>
      </w:r>
      <w:r>
        <w:t xml:space="preserve"> </w:t>
      </w:r>
      <w:r>
        <w:t xml:space="preserve">To map environmental exposure gradients (air quality indices, green space access) across Miami neighborhoods using GIS technology and correlate findings with genomic data.</w:t>
      </w:r>
    </w:p>
    <w:p>
      <w:pPr>
        <w:numPr>
          <w:ilvl w:val="0"/>
          <w:numId w:val="1001"/>
        </w:numPr>
        <w:pStyle w:val="Compact"/>
      </w:pPr>
      <w:r>
        <w:rPr>
          <w:bCs/>
          <w:b/>
        </w:rPr>
        <w:t xml:space="preserve">Tertiary Objective:</w:t>
      </w:r>
      <w:r>
        <w:t xml:space="preserve"> </w:t>
      </w:r>
      <w:r>
        <w:t xml:space="preserve">To co-design culturally tailored digital health interventions with community health workers (CHWs) from the three communities to improve medication adherence and preventive care utilization.</w:t>
      </w:r>
    </w:p>
    <w:bookmarkEnd w:id="23"/>
    <w:bookmarkStart w:id="24" w:name="methodology"/>
    <w:p>
      <w:pPr>
        <w:pStyle w:val="Heading2"/>
      </w:pPr>
      <w:r>
        <w:t xml:space="preserve">Methodology</w:t>
      </w:r>
    </w:p>
    <w:p>
      <w:pPr>
        <w:pStyle w:val="FirstParagraph"/>
      </w:pPr>
      <w:r>
        <w:t xml:space="preserve">The proposed research will employ a mixed-methods approach across three phases. Phase 1 (Months 1-9) involves recruitment via Miami-Dade County's community health centers, prioritizing underserved neighborhoods like Little Havana and Overtown. Participants will undergo comprehensive phenotyping including genomic sequencing, blood metabolite analysis, and SDOH assessment via validated surveys. Phase 2 (Months 10-24) uses machine learning algorithms to analyze multi-omic data against environmental datasets from the Florida Department of Environmental Protection. Phase 3 (Months 25-36) deploys a community-participatory intervention where CHWs trained in culturally congruent communication deliver personalized feedback via telehealth platforms. Statistical analysis will employ polygenic risk score (PRS) models adjusted for ancestry-specific population structure, with ethics approval secured through the University of Miami Miller School of Medicine IRB. Crucially, all materials will be translated into Spanish, Haitian Creole, and English to ensure accessibility—a requirement for authentic engagement in United States Miami communities.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publicly accessible Miami-specific CVD risk prediction algorithm incorporating ethnicity-optimized genetic markers, (2) Evidence-based SDOH intervention protocols for urban medical settings, and (3) A sustainable community partnership model replicable across U.S. cities with similar diversity profiles. The significance extends beyond Miami—the proposed framework could redefine how precision medicine addresses health disparities nationally. By demonstrating that culturally embedded research yields superior clinical outcomes, this work directly supports the National Institutes of Health's 2025 Equity in Research initiative and aligns with Miami's own Vision 2040 strategic plan for healthcare innovation. For the Medical Researcher role, this project establishes a template for ethically grounded, community-centered science that turns data into actionable equity.</w:t>
      </w:r>
    </w:p>
    <w:bookmarkEnd w:id="25"/>
    <w:bookmarkStart w:id="26" w:name="timeline-and-feasibility"/>
    <w:p>
      <w:pPr>
        <w:pStyle w:val="Heading2"/>
      </w:pPr>
      <w:r>
        <w:t xml:space="preserve">Timeline and Feasibility</w:t>
      </w:r>
    </w:p>
    <w:p>
      <w:pPr>
        <w:pStyle w:val="FirstParagraph"/>
      </w:pPr>
      <w:r>
        <w:t xml:space="preserve">The 36-month timeline is rigorously designed to maximize Miami's unique assets. Initial months will capitalize on the University of Miami's existing partnerships with Jackson Memorial Hospital and the Children's Trust, securing access to patient populations without burdening overtaxed clinics. Collaborations with local organizations like La Clinica de la Florida ensure trusted community entry points. Budget projections have been vetted through UM's Office of Research Administration, with 60% allocated to community engagement (CHW stipends, translation services) reflecting the project's core ethos that research must be co-created, not imposed. Miami's status as a National Institutes of Health-designated Clinical and Translational Science Award (CTSA) hub provides critical infrastructure for data management and biorepository support.</w:t>
      </w:r>
    </w:p>
    <w:bookmarkEnd w:id="26"/>
    <w:bookmarkStart w:id="27" w:name="conclusion"/>
    <w:p>
      <w:pPr>
        <w:pStyle w:val="Heading2"/>
      </w:pPr>
      <w:r>
        <w:t xml:space="preserve">Conclusion</w:t>
      </w:r>
    </w:p>
    <w:p>
      <w:pPr>
        <w:pStyle w:val="FirstParagraph"/>
      </w:pPr>
      <w:r>
        <w:t xml:space="preserve">This Thesis Proposal positions United States Miami as the ideal incubator for next-generation medical research. As a Medical Researcher committed to dismantling health inequities through science, I will leverage Miami's diversity not as a challenge, but as the foundation for innovation. The proposed study moves beyond descriptive epidemiology to create actionable knowledge that empowers communities and transforms clinical practice—proving that when precision medicine embraces cultural complexity, it becomes truly precise. This initiative embodies the highest ideals of medical research: scientific rigor paired with profound respect for human dignity. It is not merely a thesis; it is a blueprint for equitable healthcare in America's most vibrant urban laboratory.</w:t>
      </w:r>
    </w:p>
    <w:bookmarkEnd w:id="27"/>
    <w:bookmarkStart w:id="28" w:name="references-illustrative"/>
    <w:p>
      <w:pPr>
        <w:pStyle w:val="Heading2"/>
      </w:pPr>
      <w:r>
        <w:t xml:space="preserve">References (Illustrative)</w:t>
      </w:r>
    </w:p>
    <w:p>
      <w:pPr>
        <w:numPr>
          <w:ilvl w:val="0"/>
          <w:numId w:val="1002"/>
        </w:numPr>
        <w:pStyle w:val="Compact"/>
      </w:pPr>
      <w:r>
        <w:t xml:space="preserve">Rodriguez, M., et al. (2022). "Ethnic Disparities in Cardiovascular Disease Management in Urban Settings." *Journal of Urban Health*, 99(4), 678–691.</w:t>
      </w:r>
    </w:p>
    <w:p>
      <w:pPr>
        <w:numPr>
          <w:ilvl w:val="0"/>
          <w:numId w:val="1002"/>
        </w:numPr>
        <w:pStyle w:val="Compact"/>
      </w:pPr>
      <w:r>
        <w:t xml:space="preserve">National Institutes of Health. (2023). *All of Us Research Program: Diversity in Genomics*. NIH Publication No. 23-ES0451.</w:t>
      </w:r>
    </w:p>
    <w:p>
      <w:pPr>
        <w:numPr>
          <w:ilvl w:val="0"/>
          <w:numId w:val="1002"/>
        </w:numPr>
        <w:pStyle w:val="Compact"/>
      </w:pPr>
      <w:r>
        <w:t xml:space="preserve">Miami-Dade County Health Department. (2023). *Community Health Needs Assessment Report*. Miami, FL.</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Medical Researcher Position in United States Miami</dc:title>
  <dc:creator/>
  <dc:language>en</dc:language>
  <cp:keywords/>
  <dcterms:created xsi:type="dcterms:W3CDTF">2026-07-23T22:56:59Z</dcterms:created>
  <dcterms:modified xsi:type="dcterms:W3CDTF">2026-07-23T22:56:59Z</dcterms:modified>
</cp:coreProperties>
</file>

<file path=docProps/custom.xml><?xml version="1.0" encoding="utf-8"?>
<Properties xmlns="http://schemas.openxmlformats.org/officeDocument/2006/custom-properties" xmlns:vt="http://schemas.openxmlformats.org/officeDocument/2006/docPropsVTypes"/>
</file>