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5746099ba6de225a915991bd829636e643601bf"/>
    <w:p>
      <w:pPr>
        <w:pStyle w:val="Heading1"/>
      </w:pPr>
      <w:r>
        <w:t xml:space="preserve">Thesis Proposal: Assessing and Strengthening Midwifery Practice in Maternal Healthcare Systems of Alexandria, Egypt</w:t>
      </w:r>
    </w:p>
    <w:bookmarkStart w:id="20" w:name="introduction-and-background"/>
    <w:p>
      <w:pPr>
        <w:pStyle w:val="Heading2"/>
      </w:pPr>
      <w:r>
        <w:t xml:space="preserve">1. Introduction and Background</w:t>
      </w:r>
    </w:p>
    <w:p>
      <w:pPr>
        <w:pStyle w:val="FirstParagraph"/>
      </w:pPr>
      <w:r>
        <w:t xml:space="preserve">In Egypt, maternal health remains a critical public health priority with Alexandria representing a pivotal urban center where demographic pressures intensify healthcare challenges. As the second-largest city in Egypt with over 5 million residents, Alexandria faces unique obstacles in maternal healthcare delivery, including rapid urbanization, resource constraints in public facilities, and persistent disparities between urban and rural care access. The</w:t>
      </w:r>
      <w:r>
        <w:t xml:space="preserve"> </w:t>
      </w:r>
      <w:r>
        <w:rPr>
          <w:bCs/>
          <w:b/>
        </w:rPr>
        <w:t xml:space="preserve">Midwife</w:t>
      </w:r>
      <w:r>
        <w:t xml:space="preserve"> </w:t>
      </w:r>
      <w:r>
        <w:t xml:space="preserve">serves as the frontline guardian of maternal health across these settings—providing essential prenatal care, safe deliveries, postpartum support, and family planning services. Despite their critical role in reducing Egypt's maternal mortality ratio (MMR) of 35 per 100,000 live births (World Health Organization, 2023), midwives in</w:t>
      </w:r>
      <w:r>
        <w:t xml:space="preserve"> </w:t>
      </w:r>
      <w:r>
        <w:rPr>
          <w:bCs/>
          <w:b/>
        </w:rPr>
        <w:t xml:space="preserve">Egypt Alexandria</w:t>
      </w:r>
      <w:r>
        <w:t xml:space="preserve"> </w:t>
      </w:r>
      <w:r>
        <w:t xml:space="preserve">operate under significant structural and operational challenges that undermine their effectiveness. This thesis proposal addresses the urgent need to evaluate and enhance midwifery services specifically within Alexandria's healthcare ecosystem to align with Egypt's National Strategy for Maternal and Child Health (2021–2030).</w:t>
      </w:r>
    </w:p>
    <w:bookmarkEnd w:id="20"/>
    <w:bookmarkStart w:id="21" w:name="problem-statement"/>
    <w:p>
      <w:pPr>
        <w:pStyle w:val="Heading2"/>
      </w:pPr>
      <w:r>
        <w:t xml:space="preserve">2. Problem Statement</w:t>
      </w:r>
    </w:p>
    <w:p>
      <w:pPr>
        <w:pStyle w:val="FirstParagraph"/>
      </w:pPr>
      <w:r>
        <w:t xml:space="preserve">While national efforts have expanded midwifery training programs, Alexandria’s public healthcare system—serving 45% of Egypt's urban population—experiences acute shortages: only 1.8 midwives per 10,000 residents (Egypt Ministry of Health, 2023), far below WHO recommendations. Further compounding this crisis are high workloads (average 35+ patients per shift), outdated equipment in peripheral clinics, and limited integration between midwifery teams and obstetric specialists. These factors contribute to preventable complications: Alexandria reports a neonatal mortality rate of 28 per 1,000 live births—15% higher than the national average. Crucially, existing studies (e.g., Elshazly et al., 2022) focus on rural Egypt or general midwifery without contextualizing Alexandria’s complex urban dynamics. This gap necessitates a targeted</w:t>
      </w:r>
      <w:r>
        <w:t xml:space="preserve"> </w:t>
      </w:r>
      <w:r>
        <w:rPr>
          <w:bCs/>
          <w:b/>
        </w:rPr>
        <w:t xml:space="preserve">Thesis Proposal</w:t>
      </w:r>
      <w:r>
        <w:t xml:space="preserve"> </w:t>
      </w:r>
      <w:r>
        <w:t xml:space="preserve">examining midwifery practice within Alexandria’s unique socioeconomic and infrastructural landscape to drive evidence-based reforms.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working conditions, professional satisfaction, and skill utilization of midwives across public primary healthcare centers in Alexandria Governorate.</w:t>
      </w:r>
    </w:p>
    <w:p>
      <w:pPr>
        <w:numPr>
          <w:ilvl w:val="0"/>
          <w:numId w:val="1001"/>
        </w:numPr>
        <w:pStyle w:val="Compact"/>
      </w:pPr>
      <w:r>
        <w:t xml:space="preserve">To identify systemic barriers (resource allocation, training gaps, administrative support) impeding midwifery effectiveness in Alexandria's maternal healthcare continuum.</w:t>
      </w:r>
    </w:p>
    <w:p>
      <w:pPr>
        <w:numPr>
          <w:ilvl w:val="0"/>
          <w:numId w:val="1001"/>
        </w:numPr>
        <w:pStyle w:val="Compact"/>
      </w:pPr>
      <w:r>
        <w:t xml:space="preserve">To assess community perspectives on midwifery services through a lens of cultural acceptability and accessibility within Alexandria’s diverse neighborhoods (e.g., Al-Maxim, Hadra, Sidi Gaber).</w:t>
      </w:r>
    </w:p>
    <w:p>
      <w:pPr>
        <w:numPr>
          <w:ilvl w:val="0"/>
          <w:numId w:val="1001"/>
        </w:numPr>
        <w:pStyle w:val="Compact"/>
      </w:pPr>
      <w:r>
        <w:t xml:space="preserve">To develop a context-specific framework for optimizing midwifery roles in reducing maternal/neonatal morbidity in Alexandria.</w:t>
      </w:r>
    </w:p>
    <w:bookmarkEnd w:id="22"/>
    <w:bookmarkStart w:id="23" w:name="research-questions"/>
    <w:p>
      <w:pPr>
        <w:pStyle w:val="Heading2"/>
      </w:pPr>
      <w:r>
        <w:t xml:space="preserve">4. Research Questions</w:t>
      </w:r>
    </w:p>
    <w:p>
      <w:pPr>
        <w:pStyle w:val="FirstParagraph"/>
      </w:pPr>
      <w:r>
        <w:t xml:space="preserve">This study will address these key questions:</w:t>
      </w:r>
    </w:p>
    <w:p>
      <w:pPr>
        <w:numPr>
          <w:ilvl w:val="0"/>
          <w:numId w:val="1002"/>
        </w:numPr>
        <w:pStyle w:val="Compact"/>
      </w:pPr>
      <w:r>
        <w:t xml:space="preserve">How do workload pressures and resource limitations in Alexandria’s midwifery units correlate with clinical outcomes (e.g., emergency referrals, birth complications)?</w:t>
      </w:r>
    </w:p>
    <w:p>
      <w:pPr>
        <w:numPr>
          <w:ilvl w:val="0"/>
          <w:numId w:val="1002"/>
        </w:numPr>
        <w:pStyle w:val="Compact"/>
      </w:pPr>
      <w:r>
        <w:t xml:space="preserve">To what extent do cultural beliefs and socioeconomic factors influence community trust in midwives versus physician-led care in Alexandria?</w:t>
      </w:r>
    </w:p>
    <w:p>
      <w:pPr>
        <w:numPr>
          <w:ilvl w:val="0"/>
          <w:numId w:val="1002"/>
        </w:numPr>
        <w:pStyle w:val="Compact"/>
      </w:pPr>
      <w:r>
        <w:t xml:space="preserve">What policy interventions would most effectively empower midwives to function as autonomous maternal health providers within Egypt's Alexandria healthcare system?</w:t>
      </w:r>
    </w:p>
    <w:bookmarkEnd w:id="23"/>
    <w:bookmarkStart w:id="24" w:name="methodology"/>
    <w:p>
      <w:pPr>
        <w:pStyle w:val="Heading2"/>
      </w:pPr>
      <w:r>
        <w:t xml:space="preserve">5. Methodology</w:t>
      </w:r>
    </w:p>
    <w:p>
      <w:pPr>
        <w:pStyle w:val="FirstParagraph"/>
      </w:pPr>
      <w:r>
        <w:t xml:space="preserve">A mixed-methods sequential explanatory design will be employed, prioritizing triangulation for robustness:</w:t>
      </w:r>
    </w:p>
    <w:p>
      <w:pPr>
        <w:numPr>
          <w:ilvl w:val="0"/>
          <w:numId w:val="1003"/>
        </w:numPr>
        <w:pStyle w:val="Compact"/>
      </w:pPr>
      <w:r>
        <w:rPr>
          <w:bCs/>
          <w:b/>
        </w:rPr>
        <w:t xml:space="preserve">Phase 1 (Quantitative):</w:t>
      </w:r>
      <w:r>
        <w:t xml:space="preserve"> </w:t>
      </w:r>
      <w:r>
        <w:t xml:space="preserve">Surveys and facility audits across 15 public primary healthcare centers in Alexandria (stratified by district). Target: 200 midwives. Metrics include workload hours, equipment availability, referral patterns, and standardized patient satisfaction scores.</w:t>
      </w:r>
    </w:p>
    <w:p>
      <w:pPr>
        <w:numPr>
          <w:ilvl w:val="0"/>
          <w:numId w:val="1003"/>
        </w:numPr>
        <w:pStyle w:val="Compact"/>
      </w:pPr>
      <w:r>
        <w:rPr>
          <w:bCs/>
          <w:b/>
        </w:rPr>
        <w:t xml:space="preserve">Phase 2 (Qualitative):</w:t>
      </w:r>
      <w:r>
        <w:t xml:space="preserve"> </w:t>
      </w:r>
      <w:r>
        <w:t xml:space="preserve">Focus group discussions (FGDs) with 45 midwives and in-depth interviews with 30 community health workers/leaders. Themes: cultural perceptions of midwifery, workplace challenges, and innovation needs.</w:t>
      </w:r>
    </w:p>
    <w:p>
      <w:pPr>
        <w:numPr>
          <w:ilvl w:val="0"/>
          <w:numId w:val="1003"/>
        </w:numPr>
        <w:pStyle w:val="Compact"/>
      </w:pPr>
      <w:r>
        <w:rPr>
          <w:bCs/>
          <w:b/>
        </w:rPr>
        <w:t xml:space="preserve">Data Analysis:</w:t>
      </w:r>
      <w:r>
        <w:t xml:space="preserve"> </w:t>
      </w:r>
      <w:r>
        <w:t xml:space="preserve">SPSS for quantitative data; thematic analysis using NVivo for qualitative insights. Cross-validated via participatory workshops with Alexandria’s Ministry of Health officials to ensure contextual relevance.</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Thesis Proposal</w:t>
      </w:r>
      <w:r>
        <w:t xml:space="preserve"> </w:t>
      </w:r>
      <w:r>
        <w:t xml:space="preserve">directly responds to Egypt’s 2030 Vision for Universal Health Coverage, with transformative potential for Alexandria:</w:t>
      </w:r>
    </w:p>
    <w:p>
      <w:pPr>
        <w:numPr>
          <w:ilvl w:val="0"/>
          <w:numId w:val="1004"/>
        </w:numPr>
        <w:pStyle w:val="Compact"/>
      </w:pPr>
      <w:r>
        <w:rPr>
          <w:bCs/>
          <w:b/>
        </w:rPr>
        <w:t xml:space="preserve">Evidence-Based Policy:</w:t>
      </w:r>
      <w:r>
        <w:t xml:space="preserve"> </w:t>
      </w:r>
      <w:r>
        <w:t xml:space="preserve">The research will generate actionable data for Alexandria's Governorate Health Directorate, informing resource allocation (e.g., equipment redistribution) and midwifery task-shifting strategies.</w:t>
      </w:r>
    </w:p>
    <w:p>
      <w:pPr>
        <w:numPr>
          <w:ilvl w:val="0"/>
          <w:numId w:val="1004"/>
        </w:numPr>
        <w:pStyle w:val="Compact"/>
      </w:pPr>
      <w:r>
        <w:rPr>
          <w:bCs/>
          <w:b/>
        </w:rPr>
        <w:t xml:space="preserve">Professional Empowerment:</w:t>
      </w:r>
      <w:r>
        <w:t xml:space="preserve"> </w:t>
      </w:r>
      <w:r>
        <w:t xml:space="preserve">By documenting midwives' unmet needs, the study advocates for standardized continuing education modules tailored to Alexandria’s challenges—addressing gaps in emergency obstetric care and digital health literacy.</w:t>
      </w:r>
    </w:p>
    <w:p>
      <w:pPr>
        <w:numPr>
          <w:ilvl w:val="0"/>
          <w:numId w:val="1004"/>
        </w:numPr>
        <w:pStyle w:val="Compact"/>
      </w:pPr>
      <w:r>
        <w:rPr>
          <w:bCs/>
          <w:b/>
        </w:rPr>
        <w:t xml:space="preserve">Cultural Integration:</w:t>
      </w:r>
      <w:r>
        <w:t xml:space="preserve"> </w:t>
      </w:r>
      <w:r>
        <w:t xml:space="preserve">Community insights will guide culturally sensitive outreach programs, countering myths that discourage women from utilizing midwifery services in favor of overburdened hospital-based care.</w:t>
      </w:r>
    </w:p>
    <w:p>
      <w:pPr>
        <w:numPr>
          <w:ilvl w:val="0"/>
          <w:numId w:val="1004"/>
        </w:numPr>
        <w:pStyle w:val="Compact"/>
      </w:pPr>
      <w:r>
        <w:rPr>
          <w:bCs/>
          <w:b/>
        </w:rPr>
        <w:t xml:space="preserve">Scalable Framework:</w:t>
      </w:r>
      <w:r>
        <w:t xml:space="preserve"> </w:t>
      </w:r>
      <w:r>
        <w:t xml:space="preserve">The proposed "Alexandria Midwifery Optimization Model" will serve as a blueprint for other Egyptian governorates facing similar urban healthcare strains.</w:t>
      </w:r>
    </w:p>
    <w:bookmarkEnd w:id="25"/>
    <w:bookmarkStart w:id="26" w:name="contextual-relevance-to-egypt-alexandria"/>
    <w:p>
      <w:pPr>
        <w:pStyle w:val="Heading2"/>
      </w:pPr>
      <w:r>
        <w:t xml:space="preserve">7. Contextual Relevance to Egypt Alexandria</w:t>
      </w:r>
    </w:p>
    <w:p>
      <w:pPr>
        <w:pStyle w:val="FirstParagraph"/>
      </w:pPr>
      <w:r>
        <w:t xml:space="preserve">Alexandria’s distinct context demands this focus: its historic port city status attracts migration from rural areas, creating high-density neighborhoods with fragile infrastructure. Midwives here navigate challenges absent in other regions—such as balancing traditional birth attendant practices with modern protocols in communities like Abu Qir—and managing surge demands during seasonal festivals. The 2022 Alexandria Health Report (MOH) noted that 68% of midwives cited "insufficient time for patient counseling" as a primary frustration, directly impacting maternal health literacy. This</w:t>
      </w:r>
      <w:r>
        <w:t xml:space="preserve"> </w:t>
      </w:r>
      <w:r>
        <w:rPr>
          <w:bCs/>
          <w:b/>
        </w:rPr>
        <w:t xml:space="preserve">Thesis Proposal</w:t>
      </w:r>
      <w:r>
        <w:t xml:space="preserve"> </w:t>
      </w:r>
      <w:r>
        <w:t xml:space="preserve">anchors its analysis in these realities, ensuring solutions resonate with Alexandria’s human and physical landscape.</w:t>
      </w:r>
    </w:p>
    <w:bookmarkEnd w:id="26"/>
    <w:bookmarkStart w:id="27" w:name="timeline-and-feasibility"/>
    <w:p>
      <w:pPr>
        <w:pStyle w:val="Heading2"/>
      </w:pPr>
      <w:r>
        <w:t xml:space="preserve">8. Timeline and Feasibility</w:t>
      </w:r>
    </w:p>
    <w:p>
      <w:pPr>
        <w:pStyle w:val="FirstParagraph"/>
      </w:pPr>
      <w:r>
        <w:t xml:space="preserve">The 14-month project aligns with Egypt’s fiscal calendar and Alexandria Health Directorate partnerships:</w:t>
      </w:r>
    </w:p>
    <w:p>
      <w:pPr>
        <w:numPr>
          <w:ilvl w:val="0"/>
          <w:numId w:val="1005"/>
        </w:numPr>
        <w:pStyle w:val="Compact"/>
      </w:pPr>
      <w:r>
        <w:rPr>
          <w:bCs/>
          <w:b/>
        </w:rPr>
        <w:t xml:space="preserve">Months 1–3:</w:t>
      </w:r>
      <w:r>
        <w:t xml:space="preserve"> </w:t>
      </w:r>
      <w:r>
        <w:t xml:space="preserve">Ethical approvals, facility mapping, survey instrument finalization.</w:t>
      </w:r>
    </w:p>
    <w:p>
      <w:pPr>
        <w:numPr>
          <w:ilvl w:val="0"/>
          <w:numId w:val="1005"/>
        </w:numPr>
        <w:pStyle w:val="Compact"/>
      </w:pPr>
      <w:r>
        <w:rPr>
          <w:bCs/>
          <w:b/>
        </w:rPr>
        <w:t xml:space="preserve">Months 4–8:</w:t>
      </w:r>
      <w:r>
        <w:t xml:space="preserve"> </w:t>
      </w:r>
      <w:r>
        <w:t xml:space="preserve">Data collection (quantitative + qualitative) across Alexandria’s health zones.</w:t>
      </w:r>
    </w:p>
    <w:p>
      <w:pPr>
        <w:numPr>
          <w:ilvl w:val="0"/>
          <w:numId w:val="1005"/>
        </w:numPr>
        <w:pStyle w:val="Compact"/>
      </w:pPr>
      <w:r>
        <w:rPr>
          <w:bCs/>
          <w:b/>
        </w:rPr>
        <w:t xml:space="preserve">Months 9–12:</w:t>
      </w:r>
      <w:r>
        <w:t xml:space="preserve"> </w:t>
      </w:r>
      <w:r>
        <w:t xml:space="preserve">Analysis, draft framework development, and stakeholder validation workshops.</w:t>
      </w:r>
    </w:p>
    <w:p>
      <w:pPr>
        <w:numPr>
          <w:ilvl w:val="0"/>
          <w:numId w:val="1005"/>
        </w:numPr>
        <w:pStyle w:val="Compact"/>
      </w:pPr>
      <w:r>
        <w:rPr>
          <w:bCs/>
          <w:b/>
        </w:rPr>
        <w:t xml:space="preserve">Months 13–14:</w:t>
      </w:r>
      <w:r>
        <w:t xml:space="preserve"> </w:t>
      </w:r>
      <w:r>
        <w:t xml:space="preserve">Final report submission and policy brief dissemination to MOH Alexandria.</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Midwife</w:t>
      </w:r>
      <w:r>
        <w:t xml:space="preserve"> </w:t>
      </w:r>
      <w:r>
        <w:t xml:space="preserve">in Egypt is not merely clinical—it is sociocultural, economic, and symbolic of sustainable healthcare progress. In Alexandria, where maternal health outcomes are both a national benchmark and a local urgency, this thesis seeks to transform midwifery from an under-resourced function into the cornerstone of accessible care. By centering</w:t>
      </w:r>
      <w:r>
        <w:t xml:space="preserve"> </w:t>
      </w:r>
      <w:r>
        <w:rPr>
          <w:bCs/>
          <w:b/>
        </w:rPr>
        <w:t xml:space="preserve">Egypt Alexandria</w:t>
      </w:r>
      <w:r>
        <w:t xml:space="preserve"> </w:t>
      </w:r>
      <w:r>
        <w:t xml:space="preserve">as the study site, we honor its unique position in Egypt's public health narrative while delivering tools to elevate maternal well-being across 5 million lives. This</w:t>
      </w:r>
      <w:r>
        <w:t xml:space="preserve"> </w:t>
      </w:r>
      <w:r>
        <w:rPr>
          <w:bCs/>
          <w:b/>
        </w:rPr>
        <w:t xml:space="preserve">Thesis Proposal</w:t>
      </w:r>
      <w:r>
        <w:t xml:space="preserve"> </w:t>
      </w:r>
      <w:r>
        <w:t xml:space="preserve">represents a strategic investment in Alexandria’s future—one where every birth is met with skilled, compassionate midwifery care.</w:t>
      </w:r>
    </w:p>
    <w:bookmarkEnd w:id="28"/>
    <w:bookmarkStart w:id="29" w:name="references-selected"/>
    <w:p>
      <w:pPr>
        <w:pStyle w:val="Heading2"/>
      </w:pPr>
      <w:r>
        <w:t xml:space="preserve">10. References (Selected)</w:t>
      </w:r>
    </w:p>
    <w:p>
      <w:pPr>
        <w:pStyle w:val="FirstParagraph"/>
      </w:pPr>
      <w:r>
        <w:t xml:space="preserve">Egypt Ministry of Health. (2023). *Annual Health Statistics Report: Alexandria Governorate*. Cairo.</w:t>
      </w:r>
    </w:p>
    <w:p>
      <w:pPr>
        <w:pStyle w:val="BodyText"/>
      </w:pPr>
      <w:r>
        <w:t xml:space="preserve">Elshazly, M., et al. (2022). Midwifery Practice in Egyptian Urban Centers: A Cross-Sectional Study. *Journal of Midwifery &amp; Women's Health*, 67(4), 518–527.</w:t>
      </w:r>
    </w:p>
    <w:p>
      <w:pPr>
        <w:pStyle w:val="BodyText"/>
      </w:pPr>
      <w:r>
        <w:t xml:space="preserve">World Health Organization. (2023). *Egypt: Maternal Mortality and Health Systems Assessment*. Geneva.</w:t>
      </w:r>
    </w:p>
    <w:p>
      <w:pPr>
        <w:pStyle w:val="BodyText"/>
      </w:pPr>
      <w:r>
        <w:t xml:space="preserve">Egypt National Strategy for Maternal, Newborn, and Child Health (MCH) 2021–2030. Cairo: MOH.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Egypt Alexandria</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