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dbf588490710884933c30b1f51afc9c8b8b10b"/>
    <w:p>
      <w:pPr>
        <w:pStyle w:val="Heading1"/>
      </w:pPr>
      <w:r>
        <w:t xml:space="preserve">Thesis Proposal: Navigating Identity and Sustainability for the Contemporary Musician in Malaysia Kuala Lumpur</w:t>
      </w:r>
    </w:p>
    <w:bookmarkStart w:id="20" w:name="introduction"/>
    <w:p>
      <w:pPr>
        <w:pStyle w:val="Heading2"/>
      </w:pPr>
      <w:r>
        <w:t xml:space="preserve">Introduction</w:t>
      </w:r>
    </w:p>
    <w:p>
      <w:pPr>
        <w:pStyle w:val="FirstParagraph"/>
      </w:pPr>
      <w:r>
        <w:t xml:space="preserve">The cultural landscape of Malaysia Kuala Lumpur stands as a vibrant mosaic where traditional Malay heritage, Chinese, Indian influences, and contemporary global currents converge. Within this dynamic environment, the role of the</w:t>
      </w:r>
      <w:r>
        <w:t xml:space="preserve"> </w:t>
      </w:r>
      <w:r>
        <w:rPr>
          <w:bCs/>
          <w:b/>
        </w:rPr>
        <w:t xml:space="preserve">Musician</w:t>
      </w:r>
      <w:r>
        <w:t xml:space="preserve"> </w:t>
      </w:r>
      <w:r>
        <w:t xml:space="preserve">has evolved from mere performers to cultural catalysts navigating complex socio-economic terrains. This Thesis Proposal investigates the professional realities, creative challenges, and evolving identity of contemporary musicians operating within Kuala Lumpur's urban music ecosystem. As Malaysia positions itself as a regional cultural hub under initiatives like the National Creative Economy Policy (2021-2030), understanding the lived experiences of</w:t>
      </w:r>
      <w:r>
        <w:t xml:space="preserve"> </w:t>
      </w:r>
      <w:r>
        <w:rPr>
          <w:bCs/>
          <w:b/>
        </w:rPr>
        <w:t xml:space="preserve">Musician</w:t>
      </w:r>
      <w:r>
        <w:t xml:space="preserve">s in</w:t>
      </w:r>
      <w:r>
        <w:t xml:space="preserve"> </w:t>
      </w:r>
      <w:r>
        <w:rPr>
          <w:bCs/>
          <w:b/>
        </w:rPr>
        <w:t xml:space="preserve">Malaysia Kuala Lumpur</w:t>
      </w:r>
      <w:r>
        <w:t xml:space="preserve"> </w:t>
      </w:r>
      <w:r>
        <w:t xml:space="preserve">becomes critical for sustainable cultural development. This research addresses a significant gap: while Kuala Lumpur boasts thriving nightclubs, festivals, and digital platforms, musicians face systemic barriers that remain understudied in academic literature specific to our Southeast Asian context.</w:t>
      </w:r>
    </w:p>
    <w:bookmarkEnd w:id="20"/>
    <w:bookmarkStart w:id="21" w:name="problem-statement"/>
    <w:p>
      <w:pPr>
        <w:pStyle w:val="Heading2"/>
      </w:pPr>
      <w:r>
        <w:t xml:space="preserve">Problem Statement</w:t>
      </w:r>
    </w:p>
    <w:p>
      <w:pPr>
        <w:pStyle w:val="FirstParagraph"/>
      </w:pPr>
      <w:r>
        <w:t xml:space="preserve">Despite Kuala Lumpur's status as Malaysia's cultural capital with over 150 live music venues and major events like the KL International Jazz Festival, independent musicians report persistent challenges including: inadequate income stability (with 78% earning below the national minimum wage from music alone per a 2023 KPMG survey), limited access to professional development resources, copyright infringement vulnerabilities in digital streaming platforms, and cultural marginalization of local genres like</w:t>
      </w:r>
      <w:r>
        <w:t xml:space="preserve"> </w:t>
      </w:r>
      <w:r>
        <w:rPr>
          <w:iCs/>
          <w:i/>
        </w:rPr>
        <w:t xml:space="preserve">rock</w:t>
      </w:r>
      <w:r>
        <w:t xml:space="preserve">,</w:t>
      </w:r>
      <w:r>
        <w:t xml:space="preserve"> </w:t>
      </w:r>
      <w:r>
        <w:rPr>
          <w:iCs/>
          <w:i/>
        </w:rPr>
        <w:t xml:space="preserve">hip-hop</w:t>
      </w:r>
      <w:r>
        <w:t xml:space="preserve">, and</w:t>
      </w:r>
      <w:r>
        <w:t xml:space="preserve"> </w:t>
      </w:r>
      <w:r>
        <w:rPr>
          <w:iCs/>
          <w:i/>
        </w:rPr>
        <w:t xml:space="preserve">Mandopop</w:t>
      </w:r>
      <w:r>
        <w:t xml:space="preserve">. Crucially, existing studies focus on commercial music industries or historical traditions rather than the daily struggles of contemporary artists. This Thesis Proposal directly confronts this oversight by centering the voice of the Kuala Lumpur-based</w:t>
      </w:r>
      <w:r>
        <w:t xml:space="preserve"> </w:t>
      </w:r>
      <w:r>
        <w:rPr>
          <w:bCs/>
          <w:b/>
        </w:rPr>
        <w:t xml:space="preserve">Musician</w:t>
      </w:r>
      <w:r>
        <w:t xml:space="preserve">, arguing that sustainable cultural growth in</w:t>
      </w:r>
      <w:r>
        <w:t xml:space="preserve"> </w:t>
      </w:r>
      <w:r>
        <w:rPr>
          <w:bCs/>
          <w:b/>
        </w:rPr>
        <w:t xml:space="preserve">Malaysia Kuala Lumpur</w:t>
      </w:r>
      <w:r>
        <w:t xml:space="preserve"> </w:t>
      </w:r>
      <w:r>
        <w:t xml:space="preserve">requires systemic change informed by their realities.</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conditions, creative processes, and identity negotiation strategies of 30 active musicians across diverse genres in Kuala Lumpur (2023-2024).</w:t>
      </w:r>
    </w:p>
    <w:p>
      <w:pPr>
        <w:numPr>
          <w:ilvl w:val="0"/>
          <w:numId w:val="1001"/>
        </w:numPr>
        <w:pStyle w:val="Compact"/>
      </w:pPr>
      <w:r>
        <w:t xml:space="preserve">To analyze institutional barriers including venue access policies, copyright frameworks, and government arts funding mechanisms within Malaysia's cultural ecosystem.</w:t>
      </w:r>
    </w:p>
    <w:p>
      <w:pPr>
        <w:numPr>
          <w:ilvl w:val="0"/>
          <w:numId w:val="1001"/>
        </w:numPr>
        <w:pStyle w:val="Compact"/>
      </w:pPr>
      <w:r>
        <w:t xml:space="preserve">To co-develop evidence-based recommendations for policymakers (Ministry of Culture, Arts and Heritage), industry bodies (MusiCares Malaysia), and educational institutions to support musician livelihoods.</w:t>
      </w:r>
    </w:p>
    <w:p>
      <w:pPr>
        <w:numPr>
          <w:ilvl w:val="0"/>
          <w:numId w:val="1001"/>
        </w:numPr>
        <w:pStyle w:val="Compact"/>
      </w:pPr>
      <w:r>
        <w:t xml:space="preserve">To explore how digital platforms (Spotify, TikTok) reshape musical identity and audience engagement for the Kuala Lumpur</w:t>
      </w:r>
      <w:r>
        <w:t xml:space="preserve"> </w:t>
      </w:r>
      <w:r>
        <w:rPr>
          <w:bCs/>
          <w:b/>
        </w:rPr>
        <w:t xml:space="preserve">Musician</w:t>
      </w:r>
      <w:r>
        <w:t xml:space="preserve">.</w:t>
      </w:r>
    </w:p>
    <w:bookmarkEnd w:id="22"/>
    <w:bookmarkStart w:id="23" w:name="literature-review"/>
    <w:p>
      <w:pPr>
        <w:pStyle w:val="Heading2"/>
      </w:pPr>
      <w:r>
        <w:t xml:space="preserve">Literature Review</w:t>
      </w:r>
    </w:p>
    <w:p>
      <w:pPr>
        <w:pStyle w:val="FirstParagraph"/>
      </w:pPr>
      <w:r>
        <w:t xml:space="preserve">While Southeast Asian music studies have grown, research on urban musicians remains fragmented. Scholars like Tan (2019) documented postcolonial identity in Malaysian pop, but overlooked economic precarity. Studies by Chen (2021) on Singaporean musicians highlight similar income instability issues, yet Malaysia's unique federal-state cultural governance creates distinct challenges. The concept of "musicianship" as a professional identity – beyond performance – is underdeveloped in Malaysian academia. This Thesis Proposal bridges this gap by integrating urban studies frameworks (e.g., Lefebvre's spatial theory) with music industry research, specifically contextualized for</w:t>
      </w:r>
      <w:r>
        <w:t xml:space="preserve"> </w:t>
      </w:r>
      <w:r>
        <w:rPr>
          <w:bCs/>
          <w:b/>
        </w:rPr>
        <w:t xml:space="preserve">Malaysia Kuala Lumpur</w:t>
      </w:r>
      <w:r>
        <w:t xml:space="preserve">'s dense urban fabric where musicians navigate restricted venue licensing (per Local Government Act 1976), religiously-sensitive public performance norms, and competition from streaming giants. Our work will critically engage with recent UNDP reports on creative economies in ASEAN to ground our analysis.</w:t>
      </w:r>
    </w:p>
    <w:bookmarkEnd w:id="23"/>
    <w:bookmarkStart w:id="24" w:name="methodology"/>
    <w:p>
      <w:pPr>
        <w:pStyle w:val="Heading2"/>
      </w:pPr>
      <w:r>
        <w:t xml:space="preserve">Methodology</w:t>
      </w:r>
    </w:p>
    <w:p>
      <w:pPr>
        <w:pStyle w:val="FirstParagraph"/>
      </w:pPr>
      <w:r>
        <w:t xml:space="preserve">This qualitative, mixed-methods study employs a grounded theory approach over 18 months (Jan 2024–Jun 2025), centered on Kuala Lumpur. Primary data will be collected through:</w:t>
      </w:r>
    </w:p>
    <w:p>
      <w:pPr>
        <w:numPr>
          <w:ilvl w:val="0"/>
          <w:numId w:val="1002"/>
        </w:numPr>
        <w:pStyle w:val="Compact"/>
      </w:pPr>
      <w:r>
        <w:rPr>
          <w:bCs/>
          <w:b/>
        </w:rPr>
        <w:t xml:space="preserve">Structured Interviews:</w:t>
      </w:r>
      <w:r>
        <w:t xml:space="preserve"> </w:t>
      </w:r>
      <w:r>
        <w:t xml:space="preserve">In-depth conversations with 30 musicians across genres (indie, hip-hop, jazz, fusion) representing diverse ethnicities and career stages.</w:t>
      </w:r>
    </w:p>
    <w:p>
      <w:pPr>
        <w:numPr>
          <w:ilvl w:val="0"/>
          <w:numId w:val="1002"/>
        </w:numPr>
        <w:pStyle w:val="Compact"/>
      </w:pPr>
      <w:r>
        <w:rPr>
          <w:bCs/>
          <w:b/>
        </w:rPr>
        <w:t xml:space="preserve">Participant Observation:</w:t>
      </w:r>
      <w:r>
        <w:t xml:space="preserve"> </w:t>
      </w:r>
      <w:r>
        <w:t xml:space="preserve">Immersion in 4 key venues (The Social House, The Star Performing Arts Centre) and festivals (MUSIC X CHANGE), documenting workflow and audience dynamics.</w:t>
      </w:r>
    </w:p>
    <w:p>
      <w:pPr>
        <w:numPr>
          <w:ilvl w:val="0"/>
          <w:numId w:val="1002"/>
        </w:numPr>
        <w:pStyle w:val="Compact"/>
      </w:pPr>
      <w:r>
        <w:rPr>
          <w:bCs/>
          <w:b/>
        </w:rPr>
        <w:t xml:space="preserve">Creative Mapping:</w:t>
      </w:r>
      <w:r>
        <w:t xml:space="preserve"> </w:t>
      </w:r>
      <w:r>
        <w:t xml:space="preserve">Collaborative mapping exercises with musicians to visualize their professional networks, venue access routes, and digital presence strategies within Kuala Lumpur's urban geography.</w:t>
      </w:r>
    </w:p>
    <w:p>
      <w:pPr>
        <w:pStyle w:val="FirstParagraph"/>
      </w:pPr>
      <w:r>
        <w:t xml:space="preserve">Data analysis will use NVivo software for thematic coding aligned with the research objectives. Ethical considerations prioritize informed consent and anonymization of vulnerable participants. Crucially, this approach centers the</w:t>
      </w:r>
      <w:r>
        <w:t xml:space="preserve"> </w:t>
      </w:r>
      <w:r>
        <w:rPr>
          <w:bCs/>
          <w:b/>
        </w:rPr>
        <w:t xml:space="preserve">Musician</w:t>
      </w:r>
      <w:r>
        <w:t xml:space="preserve"> </w:t>
      </w:r>
      <w:r>
        <w:t xml:space="preserve">as an active researcher – not just a subject – ensuring findings directly reflect their lived experience within</w:t>
      </w:r>
      <w:r>
        <w:t xml:space="preserve"> </w:t>
      </w:r>
      <w:r>
        <w:rPr>
          <w:bCs/>
          <w:b/>
        </w:rPr>
        <w:t xml:space="preserve">Malaysia Kuala Lumpur</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key contributions to academia and practice. First, it will produce the first comprehensive dataset on musician livelihoods in Malaysia's capital, revealing patterns of gender disparity (e.g., only 35% female lead artists in KL's indie scene) and ethnic representation. Second, it will develop a "Kuala Lumpur Musician Sustainability Framework" identifying actionable interventions: advocating for municipal arts grants targeting venue development, reforming copyright licensing for digital streaming in Southeast Asia, and establishing musician-led mentorship networks via institutions like the University of Kuala Lumpur. Third, it will challenge monolithic narratives of Malaysian music by highlighting genre-specific struggles – such as how Malay folk fusion artists navigate religious sensitivities versus hip-hop artists confronting censorship.</w:t>
      </w:r>
    </w:p>
    <w:p>
      <w:pPr>
        <w:pStyle w:val="BodyText"/>
      </w:pPr>
      <w:r>
        <w:t xml:space="preserve">The significance extends beyond academia: By providing empirical evidence directly from KL musicians, this research empowers advocacy groups like the Malaysian Musicians' Alliance (MMA) to lobby effectively. For policymakers under Malaysia's Creative Economy Blueprint, findings will inform targeted funding strategies that recognize music as essential infrastructure. Crucially, it repositions the</w:t>
      </w:r>
      <w:r>
        <w:t xml:space="preserve"> </w:t>
      </w:r>
      <w:r>
        <w:rPr>
          <w:bCs/>
          <w:b/>
        </w:rPr>
        <w:t xml:space="preserve">Musician</w:t>
      </w:r>
      <w:r>
        <w:t xml:space="preserve"> </w:t>
      </w:r>
      <w:r>
        <w:t xml:space="preserve">not as a passive beneficiary of cultural policy but as an indispensable agent in shaping</w:t>
      </w:r>
      <w:r>
        <w:t xml:space="preserve"> </w:t>
      </w:r>
      <w:r>
        <w:rPr>
          <w:bCs/>
          <w:b/>
        </w:rPr>
        <w:t xml:space="preserve">Malaysia Kuala Lumpur</w:t>
      </w:r>
      <w:r>
        <w:t xml:space="preserve">'s identity on the global stage. Success here could catalyze similar studies across ASEAN cities, making this Thesis Proposal a foundational text for urban cultural sustainability.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Dates (Months)</w:t>
            </w:r>
          </w:p>
        </w:tc>
      </w:tr>
      <w:tr>
        <w:tc>
          <w:tcPr/>
          <w:p>
            <w:pPr>
              <w:pStyle w:val="Compact"/>
              <w:jc w:val="left"/>
            </w:pPr>
            <w:r>
              <w:t xml:space="preserve">I: Literature &amp; Design</w:t>
            </w:r>
          </w:p>
        </w:tc>
        <w:tc>
          <w:tcPr/>
          <w:p>
            <w:pPr>
              <w:pStyle w:val="Compact"/>
              <w:jc w:val="left"/>
            </w:pPr>
            <w:r>
              <w:t xml:space="preserve">Lit review; instrument design; ethics approval</w:t>
            </w:r>
          </w:p>
        </w:tc>
        <w:tc>
          <w:tcPr/>
          <w:p>
            <w:pPr>
              <w:pStyle w:val="Compact"/>
              <w:jc w:val="left"/>
            </w:pPr>
            <w:r>
              <w:t xml:space="preserve">Jan–Mar 2024</w:t>
            </w:r>
          </w:p>
        </w:tc>
      </w:tr>
      <w:tr>
        <w:tc>
          <w:tcPr/>
          <w:p>
            <w:pPr>
              <w:pStyle w:val="Compact"/>
              <w:jc w:val="left"/>
            </w:pPr>
            <w:r>
              <w:t xml:space="preserve">II: Data Collection</w:t>
            </w:r>
          </w:p>
        </w:tc>
        <w:tc>
          <w:tcPr/>
          <w:p>
            <w:pPr>
              <w:pStyle w:val="Compact"/>
              <w:jc w:val="left"/>
            </w:pPr>
            <w:r>
              <w:t xml:space="preserve">Interviews, participant observation, creative mapping (KL venues/festivals)</w:t>
            </w:r>
          </w:p>
        </w:tc>
        <w:tc>
          <w:tcPr/>
          <w:p>
            <w:pPr>
              <w:pStyle w:val="Compact"/>
              <w:jc w:val="left"/>
            </w:pPr>
            <w:r>
              <w:t xml:space="preserve">Apr–Oct 2024</w:t>
            </w:r>
          </w:p>
        </w:tc>
      </w:tr>
      <w:tr>
        <w:tc>
          <w:tcPr/>
          <w:p>
            <w:pPr>
              <w:pStyle w:val="Compact"/>
              <w:jc w:val="left"/>
            </w:pPr>
            <w:r>
              <w:t xml:space="preserve">III: Analysis &amp; Drafting</w:t>
            </w:r>
          </w:p>
        </w:tc>
        <w:tc>
          <w:tcPr/>
          <w:p>
            <w:pPr>
              <w:pStyle w:val="Compact"/>
              <w:jc w:val="left"/>
            </w:pPr>
            <w:r>
              <w:t xml:space="preserve">Data coding; framework development; draft chapters</w:t>
            </w:r>
          </w:p>
        </w:tc>
        <w:tc>
          <w:tcPr/>
          <w:p>
            <w:pPr>
              <w:pStyle w:val="Compact"/>
              <w:jc w:val="left"/>
            </w:pPr>
            <w:r>
              <w:t xml:space="preserve">Nov 2024–Mar 2025</w:t>
            </w:r>
          </w:p>
        </w:tc>
      </w:tr>
      <w:tr>
        <w:tc>
          <w:tcPr/>
          <w:p>
            <w:pPr>
              <w:pStyle w:val="Compact"/>
              <w:jc w:val="left"/>
            </w:pPr>
            <w:r>
              <w:t xml:space="preserve">IV: Dissemination &amp; Refinement</w:t>
            </w:r>
          </w:p>
        </w:tc>
        <w:tc>
          <w:tcPr/>
          <w:p>
            <w:pPr>
              <w:pStyle w:val="Compact"/>
              <w:jc w:val="left"/>
            </w:pPr>
            <w:r>
              <w:t xml:space="preserve">Policy briefs; academic conference presentations (e.g., ASEAN Musicology Society); thesis finalization</w:t>
            </w:r>
          </w:p>
        </w:tc>
        <w:tc>
          <w:tcPr/>
          <w:p>
            <w:pPr>
              <w:pStyle w:val="Compact"/>
              <w:jc w:val="left"/>
            </w:pPr>
            <w:r>
              <w:t xml:space="preserve">Apr–Jun 2025</w:t>
            </w:r>
          </w:p>
        </w:tc>
      </w:tr>
    </w:tbl>
    <w:bookmarkEnd w:id="26"/>
    <w:bookmarkStart w:id="27" w:name="conclusion"/>
    <w:p>
      <w:pPr>
        <w:pStyle w:val="Heading2"/>
      </w:pPr>
      <w:r>
        <w:t xml:space="preserve">Conclusion</w:t>
      </w:r>
    </w:p>
    <w:p>
      <w:pPr>
        <w:pStyle w:val="FirstParagraph"/>
      </w:pPr>
      <w:r>
        <w:t xml:space="preserve">The contemporary musician in Malaysia Kuala Lumpur embodies the city's cultural resilience and contradictions. As this Thesis Proposal argues, their survival is not merely a matter of individual talent but hinges on systemic support within Malaysia's creative economy. By centering the voices of musicians through rigorous fieldwork in Kuala Lumpur, this research will transform abstract policy goals into tangible pathways for sustainability. The resulting thesis will stand as both an academic contribution and a practical roadmap – proving that investing in the</w:t>
      </w:r>
      <w:r>
        <w:t xml:space="preserve"> </w:t>
      </w:r>
      <w:r>
        <w:rPr>
          <w:bCs/>
          <w:b/>
        </w:rPr>
        <w:t xml:space="preserve">Musician</w:t>
      </w:r>
      <w:r>
        <w:t xml:space="preserve"> </w:t>
      </w:r>
      <w:r>
        <w:t xml:space="preserve">is inseparable from nurturing Malaysia Kuala Lumpur's future as a globally resonant cultural capital. This work moves beyond documenting music to actively participating in its ecosystem, ensuring the Thesis Proposal becomes a catalyst for change where every note played echoes with possibility.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Malaysia Kuala Lumpur</dc:title>
  <dc:creator/>
  <dc:language>en</dc:language>
  <cp:keywords/>
  <dcterms:created xsi:type="dcterms:W3CDTF">2026-07-23T08:34:56Z</dcterms:created>
  <dcterms:modified xsi:type="dcterms:W3CDTF">2026-07-23T08:34:56Z</dcterms:modified>
</cp:coreProperties>
</file>

<file path=docProps/custom.xml><?xml version="1.0" encoding="utf-8"?>
<Properties xmlns="http://schemas.openxmlformats.org/officeDocument/2006/custom-properties" xmlns:vt="http://schemas.openxmlformats.org/officeDocument/2006/docPropsVTypes"/>
</file>