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Peru</w:t>
      </w:r>
      <w:r>
        <w:t xml:space="preserve"> </w:t>
      </w:r>
      <w:r>
        <w:t xml:space="preserve">Lima</w:t>
      </w:r>
    </w:p>
    <w:bookmarkStart w:id="29" w:name="Xcacfa4bbcf382c00ddd4acf8e33c9b5bc269783"/>
    <w:p>
      <w:pPr>
        <w:pStyle w:val="Heading1"/>
      </w:pPr>
      <w:r>
        <w:t xml:space="preserve">Thesis Proposal: Navigating Cultural Identity and Sustainability for the Contemporary Musician in Lima, Peru</w:t>
      </w:r>
    </w:p>
    <w:bookmarkStart w:id="20" w:name="introduction"/>
    <w:p>
      <w:pPr>
        <w:pStyle w:val="Heading2"/>
      </w:pPr>
      <w:r>
        <w:t xml:space="preserve">Introduction</w:t>
      </w:r>
    </w:p>
    <w:p>
      <w:pPr>
        <w:pStyle w:val="FirstParagraph"/>
      </w:pPr>
      <w:r>
        <w:t xml:space="preserve">Lima, the vibrant capital of Peru, pulses with a rich musical heritage that reflects centuries of cultural fusion—Spanish colonial influences, Indigenous Andean traditions, Afro-Peruvian rhythms, and modern global currents. Within this dynamic landscape, the contemporary</w:t>
      </w:r>
      <w:r>
        <w:t xml:space="preserve"> </w:t>
      </w:r>
      <w:r>
        <w:rPr>
          <w:bCs/>
          <w:b/>
        </w:rPr>
        <w:t xml:space="preserve">Musician</w:t>
      </w:r>
      <w:r>
        <w:t xml:space="preserve"> </w:t>
      </w:r>
      <w:r>
        <w:t xml:space="preserve">serves as both a custodian of tradition and an innovator shaping Peru's cultural future. This thesis proposal addresses the critical yet underexplored challenges faced by musicians navigating Lima's complex urban music ecosystem. As Peru experiences rapid socio-economic shifts, understanding how artists sustain their craft while preserving national identity becomes paramount for cultural resilience. This research aims to illuminate pathways toward a more supportive environment for</w:t>
      </w:r>
      <w:r>
        <w:t xml:space="preserve"> </w:t>
      </w:r>
      <w:r>
        <w:rPr>
          <w:bCs/>
          <w:b/>
        </w:rPr>
        <w:t xml:space="preserve">Musician</w:t>
      </w:r>
      <w:r>
        <w:t xml:space="preserve">s in</w:t>
      </w:r>
      <w:r>
        <w:t xml:space="preserve"> </w:t>
      </w:r>
      <w:r>
        <w:rPr>
          <w:bCs/>
          <w:b/>
        </w:rPr>
        <w:t xml:space="preserve">Peru Lima</w:t>
      </w:r>
      <w:r>
        <w:t xml:space="preserve">, contributing actionable insights to academia and policymakers.</w:t>
      </w:r>
    </w:p>
    <w:bookmarkEnd w:id="20"/>
    <w:bookmarkStart w:id="21" w:name="problem-statement"/>
    <w:p>
      <w:pPr>
        <w:pStyle w:val="Heading2"/>
      </w:pPr>
      <w:r>
        <w:t xml:space="preserve">Problem Statement</w:t>
      </w:r>
    </w:p>
    <w:p>
      <w:pPr>
        <w:pStyle w:val="FirstParagraph"/>
      </w:pPr>
      <w:r>
        <w:t xml:space="preserve">Despite Lima's status as Peru's cultural epicenter, its musicians confront systemic barriers that threaten artistic sustainability. The sector lacks cohesive institutional support—music education in public schools remains underfunded, live performance venues are scarce due to urban gentrification, and digital platforms often marginalize local sounds. Furthermore, the economic precarity of</w:t>
      </w:r>
      <w:r>
        <w:t xml:space="preserve"> </w:t>
      </w:r>
      <w:r>
        <w:rPr>
          <w:bCs/>
          <w:b/>
        </w:rPr>
        <w:t xml:space="preserve">Musician</w:t>
      </w:r>
      <w:r>
        <w:t xml:space="preserve">s is stark: a 2022 Ministry of Culture report noted that 78% of Lima-based artists rely on secondary jobs for survival. Crucially, this crisis intersects with cultural identity—global streaming algorithms prioritize international genres over Peruvian sounds, risking the erosion of musical traditions like</w:t>
      </w:r>
      <w:r>
        <w:t xml:space="preserve"> </w:t>
      </w:r>
      <w:r>
        <w:rPr>
          <w:iCs/>
          <w:i/>
        </w:rPr>
        <w:t xml:space="preserve">chicha</w:t>
      </w:r>
      <w:r>
        <w:t xml:space="preserve">,</w:t>
      </w:r>
      <w:r>
        <w:t xml:space="preserve"> </w:t>
      </w:r>
      <w:r>
        <w:rPr>
          <w:iCs/>
          <w:i/>
        </w:rPr>
        <w:t xml:space="preserve">cumbia costeña</w:t>
      </w:r>
      <w:r>
        <w:t xml:space="preserve">, or</w:t>
      </w:r>
      <w:r>
        <w:t xml:space="preserve"> </w:t>
      </w:r>
      <w:r>
        <w:rPr>
          <w:iCs/>
          <w:i/>
        </w:rPr>
        <w:t xml:space="preserve">marinera</w:t>
      </w:r>
      <w:r>
        <w:t xml:space="preserve">. Without intervention, Lima's unique sonic heritage may be reduced to a tourist attraction rather than a living art form. This proposal argues that sustainable support for the contemporary musician in Peru Lima requires nuanced strategies balancing preservation and innovation.</w:t>
      </w:r>
    </w:p>
    <w:bookmarkEnd w:id="21"/>
    <w:bookmarkStart w:id="22" w:name="research-questions"/>
    <w:p>
      <w:pPr>
        <w:pStyle w:val="Heading2"/>
      </w:pPr>
      <w:r>
        <w:t xml:space="preserve">Research Questions</w:t>
      </w:r>
    </w:p>
    <w:p>
      <w:pPr>
        <w:numPr>
          <w:ilvl w:val="0"/>
          <w:numId w:val="1001"/>
        </w:numPr>
        <w:pStyle w:val="Compact"/>
      </w:pPr>
      <w:r>
        <w:t xml:space="preserve">How do contemporary musicians in Lima navigate the tension between preserving traditional Peruvian musical forms and embracing globalized artistic trends?</w:t>
      </w:r>
    </w:p>
    <w:p>
      <w:pPr>
        <w:numPr>
          <w:ilvl w:val="0"/>
          <w:numId w:val="1001"/>
        </w:numPr>
        <w:pStyle w:val="Compact"/>
      </w:pPr>
      <w:r>
        <w:t xml:space="preserve">What institutional, economic, and social barriers most significantly hinder career sustainability for musicians across Lima's diverse music scenes (e.g., indie rock, Afro-Peruvian jazz, electronic fusion)?</w:t>
      </w:r>
    </w:p>
    <w:p>
      <w:pPr>
        <w:numPr>
          <w:ilvl w:val="0"/>
          <w:numId w:val="1001"/>
        </w:numPr>
        <w:pStyle w:val="Compact"/>
      </w:pPr>
      <w:r>
        <w:t xml:space="preserve">How can cultural policy frameworks in Peru Lima be redesigned to empower musicians while strengthening national cultural identity?</w:t>
      </w:r>
    </w:p>
    <w:bookmarkEnd w:id="22"/>
    <w:bookmarkStart w:id="23" w:name="literature-review"/>
    <w:p>
      <w:pPr>
        <w:pStyle w:val="Heading2"/>
      </w:pPr>
      <w:r>
        <w:t xml:space="preserve">Literature Review</w:t>
      </w:r>
    </w:p>
    <w:p>
      <w:pPr>
        <w:pStyle w:val="FirstParagraph"/>
      </w:pPr>
      <w:r>
        <w:t xml:space="preserve">Existing scholarship on Latin American music often centers on rural or historical contexts (e.g., studies of Andean folk by Sánchez, 1995), neglecting urban dynamics in capital cities like Lima. Recent works by Gonzales (2020) and Vásquez (2023) examine digital platforms' impact on Latin American artists but overlook Peru's unique socio-political landscape. Crucially, no comprehensive study addresses how</w:t>
      </w:r>
      <w:r>
        <w:t xml:space="preserve"> </w:t>
      </w:r>
      <w:r>
        <w:rPr>
          <w:bCs/>
          <w:b/>
        </w:rPr>
        <w:t xml:space="preserve">Peru Lima</w:t>
      </w:r>
      <w:r>
        <w:t xml:space="preserve">'s specific urban challenges—such as the 58% rise in venue closures since 2015 due to commercial development (Lima City Council, 2023)—affect musicians' livelihoods. This thesis bridges that gap by grounding research in Lima's lived realities, drawing from ethnomusicology (e.g., Kanellopoulos on urban soundscapes) and cultural policy theory (e.g., UNESCO's framework for creative cities).</w:t>
      </w:r>
    </w:p>
    <w:bookmarkEnd w:id="23"/>
    <w:bookmarkStart w:id="24" w:name="methodology"/>
    <w:p>
      <w:pPr>
        <w:pStyle w:val="Heading2"/>
      </w:pPr>
      <w:r>
        <w:t xml:space="preserve">Methodology</w:t>
      </w:r>
    </w:p>
    <w:p>
      <w:pPr>
        <w:pStyle w:val="FirstParagraph"/>
      </w:pPr>
      <w:r>
        <w:t xml:space="preserve">This qualitative-quantitative mixed-methods study will employ three phases across 10 months:</w:t>
      </w:r>
    </w:p>
    <w:p>
      <w:pPr>
        <w:numPr>
          <w:ilvl w:val="0"/>
          <w:numId w:val="1002"/>
        </w:numPr>
        <w:pStyle w:val="Compact"/>
      </w:pPr>
      <w:r>
        <w:rPr>
          <w:bCs/>
          <w:b/>
        </w:rPr>
        <w:t xml:space="preserve">Phase 1: Community Mapping (Months 1-3)</w:t>
      </w:r>
      <w:r>
        <w:t xml:space="preserve"> </w:t>
      </w:r>
      <w:r>
        <w:t xml:space="preserve">– Surveying 200+ musicians via digital platforms and community hubs (e.g., La Casona de los Martínez, Sala Verde) to document income sources, challenges, and cultural influences. Stratified sampling will ensure representation across gender, age (18–45), genres, and geographic zones (Miraflores to Comas).</w:t>
      </w:r>
    </w:p>
    <w:p>
      <w:pPr>
        <w:numPr>
          <w:ilvl w:val="0"/>
          <w:numId w:val="1002"/>
        </w:numPr>
        <w:pStyle w:val="Compact"/>
      </w:pPr>
      <w:r>
        <w:rPr>
          <w:bCs/>
          <w:b/>
        </w:rPr>
        <w:t xml:space="preserve">Phase 2: Deep-Dive Interviews (Months 4-6)</w:t>
      </w:r>
      <w:r>
        <w:t xml:space="preserve"> </w:t>
      </w:r>
      <w:r>
        <w:t xml:space="preserve">– Conducting 30 semi-structured interviews with key stakeholders: musicians (e.g., Afro-Peruvian ensemble</w:t>
      </w:r>
      <w:r>
        <w:t xml:space="preserve"> </w:t>
      </w:r>
      <w:r>
        <w:rPr>
          <w:iCs/>
          <w:i/>
        </w:rPr>
        <w:t xml:space="preserve">Mundo Nuevo</w:t>
      </w:r>
      <w:r>
        <w:t xml:space="preserve">, indie artist Cimarrón), venue owners, cultural policymakers (Ministry of Culture), and music educators. These will explore identity negotiation and systemic barriers.</w:t>
      </w:r>
    </w:p>
    <w:p>
      <w:pPr>
        <w:numPr>
          <w:ilvl w:val="0"/>
          <w:numId w:val="1002"/>
        </w:numPr>
        <w:pStyle w:val="Compact"/>
      </w:pPr>
      <w:r>
        <w:rPr>
          <w:bCs/>
          <w:b/>
        </w:rPr>
        <w:t xml:space="preserve">Phase 3: Collaborative Workshops (Months 7-9)</w:t>
      </w:r>
      <w:r>
        <w:t xml:space="preserve"> </w:t>
      </w:r>
      <w:r>
        <w:t xml:space="preserve">– Co-designing solutions with musicians through focus groups in community centers like Casa de la Música, prioritizing participant-led recommendations for policy change.</w:t>
      </w:r>
    </w:p>
    <w:p>
      <w:pPr>
        <w:pStyle w:val="FirstParagraph"/>
      </w:pPr>
      <w:r>
        <w:t xml:space="preserve">Data analysis will use thematic coding (Braun &amp; Clarke, 2006) for qualitative insights and SPSS for quantitative trends. Ethical protocols include informed consent and anonymization of vulnerable participants.</w:t>
      </w:r>
    </w:p>
    <w:bookmarkEnd w:id="24"/>
    <w:bookmarkStart w:id="25" w:name="expected-outcomes-significance"/>
    <w:p>
      <w:pPr>
        <w:pStyle w:val="Heading2"/>
      </w:pPr>
      <w:r>
        <w:t xml:space="preserve">Expected Outcomes &amp; Significance</w:t>
      </w:r>
    </w:p>
    <w:p>
      <w:pPr>
        <w:pStyle w:val="FirstParagraph"/>
      </w:pPr>
      <w:r>
        <w:t xml:space="preserve">This research anticipates three transformative outcomes:</w:t>
      </w:r>
    </w:p>
    <w:p>
      <w:pPr>
        <w:numPr>
          <w:ilvl w:val="0"/>
          <w:numId w:val="1003"/>
        </w:numPr>
        <w:pStyle w:val="Compact"/>
      </w:pPr>
      <w:r>
        <w:rPr>
          <w:bCs/>
          <w:b/>
        </w:rPr>
        <w:t xml:space="preserve">Cultural Mapping Report:</w:t>
      </w:r>
      <w:r>
        <w:t xml:space="preserve"> </w:t>
      </w:r>
      <w:r>
        <w:t xml:space="preserve">A publicly accessible digital atlas of Lima's music ecosystem, highlighting "hotspots" for artistic activity and gaps in support (e.g., lack of rehearsal spaces in peripheral districts).</w:t>
      </w:r>
    </w:p>
    <w:p>
      <w:pPr>
        <w:numPr>
          <w:ilvl w:val="0"/>
          <w:numId w:val="1003"/>
        </w:numPr>
        <w:pStyle w:val="Compact"/>
      </w:pPr>
      <w:r>
        <w:rPr>
          <w:bCs/>
          <w:b/>
        </w:rPr>
        <w:t xml:space="preserve">Policy Toolkit:</w:t>
      </w:r>
      <w:r>
        <w:t xml:space="preserve"> </w:t>
      </w:r>
      <w:r>
        <w:t xml:space="preserve">Draft recommendations for the Ministry of Culture and Lima's municipal government—such as tax incentives for venues hosting local artists or integrating traditional music into public school curricula.</w:t>
      </w:r>
    </w:p>
    <w:p>
      <w:pPr>
        <w:numPr>
          <w:ilvl w:val="0"/>
          <w:numId w:val="1003"/>
        </w:numPr>
        <w:pStyle w:val="Compact"/>
      </w:pPr>
      <w:r>
        <w:rPr>
          <w:bCs/>
          <w:b/>
        </w:rPr>
        <w:t xml:space="preserve">Artist Empowerment Framework:</w:t>
      </w:r>
      <w:r>
        <w:t xml:space="preserve"> </w:t>
      </w:r>
      <w:r>
        <w:t xml:space="preserve">A community-led model prioritizing musicians' agency, moving beyond "savior" narratives to center their expertise in policy design.</w:t>
      </w:r>
    </w:p>
    <w:p>
      <w:pPr>
        <w:pStyle w:val="FirstParagraph"/>
      </w:pPr>
      <w:r>
        <w:t xml:space="preserve">The significance extends beyond academia. By positioning the musician as a vital agent of cultural continuity—not just an economic actor—this thesis challenges deficit-based frameworks. It aligns with Peru's National Culture Policy (2021–2031), which emphasizes "cultural rights for all," and offers concrete steps toward making Lima a UNESCO Creative City for Music. For</w:t>
      </w:r>
      <w:r>
        <w:t xml:space="preserve"> </w:t>
      </w:r>
      <w:r>
        <w:rPr>
          <w:bCs/>
          <w:b/>
        </w:rPr>
        <w:t xml:space="preserve">Peru Lima</w:t>
      </w:r>
      <w:r>
        <w:t xml:space="preserve">, this research could catalyze a cultural renaissance where musicians drive urban identity, not merely reflect it.</w:t>
      </w:r>
    </w:p>
    <w:bookmarkEnd w:id="25"/>
    <w:bookmarkStart w:id="26" w:name="timeline-budget-overview"/>
    <w:p>
      <w:pPr>
        <w:pStyle w:val="Heading2"/>
      </w:pPr>
      <w:r>
        <w:t xml:space="preserve">Timeline &amp; Budget Overview</w:t>
      </w:r>
    </w:p>
    <w:p>
      <w:pPr>
        <w:pStyle w:val="FirstParagraph"/>
      </w:pPr>
      <w:r>
        <w:t xml:space="preserve">Phase</w:t>
      </w:r>
    </w:p>
    <w:p>
      <w:pPr>
        <w:pStyle w:val="BodyText"/>
      </w:pPr>
      <w:r>
        <w:t xml:space="preserve">Timeline</w:t>
      </w:r>
    </w:p>
    <w:p>
      <w:pPr>
        <w:pStyle w:val="BodyText"/>
      </w:pPr>
      <w:r>
        <w:t xml:space="preserve">Budget Allocation (USD)</w:t>
      </w:r>
    </w:p>
    <w:p>
      <w:pPr>
        <w:pStyle w:val="BodyText"/>
      </w:pPr>
      <w:r>
        <w:t xml:space="preserve">Community Mapping &amp; Survey Design</w:t>
      </w:r>
    </w:p>
    <w:p>
      <w:pPr>
        <w:pStyle w:val="BodyText"/>
      </w:pPr>
      <w:r>
        <w:t xml:space="preserve">Months 1–3</w:t>
      </w:r>
    </w:p>
    <w:p>
      <w:pPr>
        <w:pStyle w:val="BodyText"/>
      </w:pPr>
      <w:r>
        <w:t xml:space="preserve">$3,200</w:t>
      </w:r>
    </w:p>
    <w:p>
      <w:pPr>
        <w:pStyle w:val="BodyText"/>
      </w:pPr>
      <w:r>
        <w:t xml:space="preserve">Interviews &amp; Data Collection</w:t>
      </w:r>
    </w:p>
    <w:p>
      <w:pPr>
        <w:pStyle w:val="BodyText"/>
      </w:pPr>
      <w:r>
        <w:t xml:space="preserve">Months 4–6</w:t>
      </w:r>
    </w:p>
    <w:bookmarkEnd w:id="26"/>
    <w:bookmarkStart w:id="27" w:name="conclusion-the-future-in-harmony"/>
    <w:p>
      <w:pPr>
        <w:pStyle w:val="Heading2"/>
      </w:pPr>
      <w:r>
        <w:t xml:space="preserve">Conclusion: The Future in Harmony</w:t>
      </w:r>
    </w:p>
    <w:p>
      <w:pPr>
        <w:pStyle w:val="FirstParagraph"/>
      </w:pPr>
      <w:r>
        <w:t xml:space="preserve">In the heart of Peru Lima, every guitar string, drumbeat, and vocal refrain tells a story of resilience. This thesis proposal centers the contemporary musician not as a footnote in Peru's cultural narrative but as its active composer. By rigorously examining their struggles—from financial instability to identity negotiation—this research seeks to turn Lima's musical chaos into an orchestrated symphony of opportunity. The outcomes will empower artists, inform policy, and ultimately affirm that Peru’s soul thrives through the voices of its musicians. In a world where cultural homogenization looms, this work champions the unique rhythm of</w:t>
      </w:r>
      <w:r>
        <w:t xml:space="preserve"> </w:t>
      </w:r>
      <w:r>
        <w:rPr>
          <w:bCs/>
          <w:b/>
        </w:rPr>
        <w:t xml:space="preserve">Peru Lima</w:t>
      </w:r>
      <w:r>
        <w:t xml:space="preserve">, proving that when musicians flourish, a nation's spirit does too.</w:t>
      </w:r>
    </w:p>
    <w:bookmarkEnd w:id="27"/>
    <w:bookmarkStart w:id="28" w:name="references-selected"/>
    <w:p>
      <w:pPr>
        <w:pStyle w:val="Heading2"/>
      </w:pPr>
      <w:r>
        <w:t xml:space="preserve">References (Selected)</w:t>
      </w:r>
    </w:p>
    <w:p>
      <w:pPr>
        <w:numPr>
          <w:ilvl w:val="0"/>
          <w:numId w:val="1004"/>
        </w:numPr>
        <w:pStyle w:val="Compact"/>
      </w:pPr>
      <w:r>
        <w:t xml:space="preserve">Gonzales, M. (2020). *Digital Platforms and Latin American Music Economies*. University of Chile Press.</w:t>
      </w:r>
    </w:p>
    <w:p>
      <w:pPr>
        <w:numPr>
          <w:ilvl w:val="0"/>
          <w:numId w:val="1004"/>
        </w:numPr>
        <w:pStyle w:val="Compact"/>
      </w:pPr>
      <w:r>
        <w:t xml:space="preserve">Lima City Council. (2023). *Urban Cultural Infrastructure Report*. Municipalidad Metropolitana de Lima.</w:t>
      </w:r>
    </w:p>
    <w:p>
      <w:pPr>
        <w:numPr>
          <w:ilvl w:val="0"/>
          <w:numId w:val="1004"/>
        </w:numPr>
        <w:pStyle w:val="Compact"/>
      </w:pPr>
      <w:r>
        <w:t xml:space="preserve">Ministry of Culture, Peru. (2022). *National Survey of Creative Professionals*.</w:t>
      </w:r>
    </w:p>
    <w:p>
      <w:pPr>
        <w:numPr>
          <w:ilvl w:val="0"/>
          <w:numId w:val="1004"/>
        </w:numPr>
        <w:pStyle w:val="Compact"/>
      </w:pPr>
      <w:r>
        <w:t xml:space="preserve">Vásquez, A. (2023). "Global Algorithms, Local Sounds: Music Streaming in the Global South." *Journal of Popular Music Studies*, 35(1), 78–94.</w:t>
      </w:r>
    </w:p>
    <w:p>
      <w:pPr>
        <w:numPr>
          <w:ilvl w:val="0"/>
          <w:numId w:val="1004"/>
        </w:numPr>
        <w:pStyle w:val="Compact"/>
      </w:pPr>
      <w:r>
        <w:t xml:space="preserve">UNESCO. (2016). *Creative Cities Network Guidelines*. Paris: UNESCO Publishing.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Peru Lima</dc:title>
  <dc:creator/>
  <dc:language>en</dc:language>
  <cp:keywords/>
  <dcterms:created xsi:type="dcterms:W3CDTF">2026-07-17T12:45:35Z</dcterms:created>
  <dcterms:modified xsi:type="dcterms:W3CDTF">2026-07-17T12:45:35Z</dcterms:modified>
</cp:coreProperties>
</file>

<file path=docProps/custom.xml><?xml version="1.0" encoding="utf-8"?>
<Properties xmlns="http://schemas.openxmlformats.org/officeDocument/2006/custom-properties" xmlns:vt="http://schemas.openxmlformats.org/officeDocument/2006/docPropsVTypes"/>
</file>