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Resonance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8479b14e70a9bb8658401d89c38598ee716599"/>
    <w:p>
      <w:pPr>
        <w:pStyle w:val="Heading1"/>
      </w:pPr>
      <w:r>
        <w:t xml:space="preserve">Thesis Proposal: The Urban Resonance of the Contemporary Musician in United States Chicago</w:t>
      </w:r>
    </w:p>
    <w:bookmarkStart w:id="20" w:name="Xc2e237fee1722f78c263d1283b0b8881d81e896"/>
    <w:p>
      <w:pPr>
        <w:pStyle w:val="Heading2"/>
      </w:pPr>
      <w:r>
        <w:t xml:space="preserve">Introduction: Chicago’s Sonic Landscape and the Modern Musician</w:t>
      </w:r>
    </w:p>
    <w:p>
      <w:pPr>
        <w:pStyle w:val="FirstParagraph"/>
      </w:pPr>
      <w:r>
        <w:t xml:space="preserve">The city of Chicago stands as a vibrant crucible of musical innovation within the United States, historically nurturing genres from blues and jazz to house and hip-hop. As we navigate the 21st century, the role of the contemporary</w:t>
      </w:r>
      <w:r>
        <w:t xml:space="preserve"> </w:t>
      </w:r>
      <w:r>
        <w:rPr>
          <w:bCs/>
          <w:b/>
        </w:rPr>
        <w:t xml:space="preserve">Musician</w:t>
      </w:r>
      <w:r>
        <w:t xml:space="preserve"> </w:t>
      </w:r>
      <w:r>
        <w:t xml:space="preserve">in this environment has evolved beyond performance into a multifaceted identity demanding entrepreneurial agility, cultural stewardship, and technological adaptability. This</w:t>
      </w:r>
      <w:r>
        <w:t xml:space="preserve"> </w:t>
      </w:r>
      <w:r>
        <w:rPr>
          <w:iCs/>
          <w:i/>
        </w:rPr>
        <w:t xml:space="preserve">Thesis Proposal</w:t>
      </w:r>
      <w:r>
        <w:t xml:space="preserve"> </w:t>
      </w:r>
      <w:r>
        <w:t xml:space="preserve">interrogates how emerging and established</w:t>
      </w:r>
      <w:r>
        <w:t xml:space="preserve"> </w:t>
      </w:r>
      <w:r>
        <w:rPr>
          <w:bCs/>
          <w:b/>
        </w:rPr>
        <w:t xml:space="preserve">Musician</w:t>
      </w:r>
      <w:r>
        <w:t xml:space="preserve">s in</w:t>
      </w:r>
      <w:r>
        <w:t xml:space="preserve"> </w:t>
      </w:r>
      <w:r>
        <w:rPr>
          <w:bCs/>
          <w:b/>
        </w:rPr>
        <w:t xml:space="preserve">United States Chicago</w:t>
      </w:r>
      <w:r>
        <w:t xml:space="preserve"> </w:t>
      </w:r>
      <w:r>
        <w:t xml:space="preserve">negotiate artistic integrity amid economic precarity, digital disruption, and the city’s unique socio-cultural fabric. Focusing on the lived experiences of local artists across diverse genres—from South Side jazz collectives to West Loop electronic producers—this study addresses a critical gap: while Chicago’s musical legacy is well-documented, the present-day realities of its</w:t>
      </w:r>
      <w:r>
        <w:t xml:space="preserve"> </w:t>
      </w:r>
      <w:r>
        <w:rPr>
          <w:bCs/>
          <w:b/>
        </w:rPr>
        <w:t xml:space="preserve">Musician</w:t>
      </w:r>
      <w:r>
        <w:t xml:space="preserve">s remain undertheorized in academic literature. This research transcends nostalgia to map the dynamic survival strategies shaping Chicago’s current creative economy.</w:t>
      </w:r>
    </w:p>
    <w:bookmarkEnd w:id="20"/>
    <w:bookmarkStart w:id="21" w:name="research-problem-and-questions"/>
    <w:p>
      <w:pPr>
        <w:pStyle w:val="Heading2"/>
      </w:pPr>
      <w:r>
        <w:t xml:space="preserve">Research Problem and Questions</w:t>
      </w:r>
    </w:p>
    <w:p>
      <w:pPr>
        <w:pStyle w:val="FirstParagraph"/>
      </w:pPr>
      <w:r>
        <w:t xml:space="preserve">Despite Chicago’s global reputation as a musical capital, its working</w:t>
      </w:r>
      <w:r>
        <w:t xml:space="preserve"> </w:t>
      </w:r>
      <w:r>
        <w:rPr>
          <w:bCs/>
          <w:b/>
        </w:rPr>
        <w:t xml:space="preserve">Musician</w:t>
      </w:r>
      <w:r>
        <w:t xml:space="preserve">s confront systemic challenges often overlooked in mainstream discourse. These include: (1) the erosion of traditional revenue streams due to streaming platforms and venue closures; (2) geographic inequities where creative opportunities concentrate in affluent neighborhoods while historically Black and Latinx communities face displacement; and (3) the lack of institutional support tailored to contemporary artistic workflows. This</w:t>
      </w:r>
      <w:r>
        <w:t xml:space="preserve"> </w:t>
      </w:r>
      <w:r>
        <w:rPr>
          <w:iCs/>
          <w:i/>
        </w:rPr>
        <w:t xml:space="preserve">Thesis Proposal</w:t>
      </w:r>
      <w:r>
        <w:t xml:space="preserve"> </w:t>
      </w:r>
      <w:r>
        <w:t xml:space="preserve">centers on three interlocking research questions:</w:t>
      </w:r>
    </w:p>
    <w:p>
      <w:pPr>
        <w:numPr>
          <w:ilvl w:val="0"/>
          <w:numId w:val="1001"/>
        </w:numPr>
        <w:pStyle w:val="Compact"/>
      </w:pPr>
      <w:r>
        <w:rPr>
          <w:bCs/>
          <w:b/>
        </w:rPr>
        <w:t xml:space="preserve">RQ1:</w:t>
      </w:r>
      <w:r>
        <w:t xml:space="preserve"> </w:t>
      </w:r>
      <w:r>
        <w:t xml:space="preserve">How do</w:t>
      </w:r>
      <w:r>
        <w:t xml:space="preserve"> </w:t>
      </w:r>
      <w:r>
        <w:rPr>
          <w:bCs/>
          <w:b/>
        </w:rPr>
        <w:t xml:space="preserve">Musician</w:t>
      </w:r>
      <w:r>
        <w:t xml:space="preserve">s in Chicago strategically leverage digital tools, community networks, and hybrid revenue models to sustain their careers amid economic volatility?</w:t>
      </w:r>
    </w:p>
    <w:p>
      <w:pPr>
        <w:numPr>
          <w:ilvl w:val="0"/>
          <w:numId w:val="1001"/>
        </w:numPr>
        <w:pStyle w:val="Compact"/>
      </w:pPr>
      <w:r>
        <w:rPr>
          <w:bCs/>
          <w:b/>
        </w:rPr>
        <w:t xml:space="preserve">RQ2:</w:t>
      </w:r>
      <w:r>
        <w:t xml:space="preserve"> </w:t>
      </w:r>
      <w:r>
        <w:t xml:space="preserve">To what extent does neighborhood-based cultural capital (e.g., Humboldt Park’s Latinx music scenes or Bronzeville’s blues heritage) influence a</w:t>
      </w:r>
      <w:r>
        <w:t xml:space="preserve"> </w:t>
      </w:r>
      <w:r>
        <w:rPr>
          <w:bCs/>
          <w:b/>
        </w:rPr>
        <w:t xml:space="preserve">Musician</w:t>
      </w:r>
      <w:r>
        <w:t xml:space="preserve">'s professional trajectory in modern Chicago?</w:t>
      </w:r>
    </w:p>
    <w:p>
      <w:pPr>
        <w:numPr>
          <w:ilvl w:val="0"/>
          <w:numId w:val="1001"/>
        </w:numPr>
        <w:pStyle w:val="Compact"/>
      </w:pPr>
      <w:r>
        <w:rPr>
          <w:bCs/>
          <w:b/>
        </w:rPr>
        <w:t xml:space="preserve">RQ3:</w:t>
      </w:r>
      <w:r>
        <w:t xml:space="preserve"> </w:t>
      </w:r>
      <w:r>
        <w:t xml:space="preserve">What policy interventions would most effectively empower a diverse cohort of</w:t>
      </w:r>
      <w:r>
        <w:t xml:space="preserve"> </w:t>
      </w:r>
      <w:r>
        <w:rPr>
          <w:bCs/>
          <w:b/>
        </w:rPr>
        <w:t xml:space="preserve">Musician</w:t>
      </w:r>
      <w:r>
        <w:t xml:space="preserve">s across the city, ensuring equitable access to creative infrastructure in the United States context?</w:t>
      </w:r>
    </w:p>
    <w:bookmarkEnd w:id="21"/>
    <w:bookmarkStart w:id="22" w:name="X357eaba08dd6f686614f22bc83eabb62b5f9351"/>
    <w:p>
      <w:pPr>
        <w:pStyle w:val="Heading2"/>
      </w:pPr>
      <w:r>
        <w:t xml:space="preserve">Literature Review: Gaps in Urban Musical Scholarship</w:t>
      </w:r>
    </w:p>
    <w:p>
      <w:pPr>
        <w:pStyle w:val="FirstParagraph"/>
      </w:pPr>
      <w:r>
        <w:t xml:space="preserve">Existing scholarship on urban musicianship often falls into two categories: historical accounts of Chicago’s past musical eras (e.g., blues migration or house music’s origins) or broad analyses of the "gig economy" affecting artists nationwide. However, few studies anchor their inquiry in the spatial specificity of Chicago itself. Scholars like Tera Hunter (2015) dissected jazz history but omitted contemporary adaptation strategies, while research by Lise Soskice (2020) on digital music economies lacks neighborhood-level granularity. Crucially, no work synthesizes Chicago’s unique municipal policies—such as the City of Chicago’s Office of Cultural Affairs initiatives or the impact of zoning laws on performance spaces—with the daily realities of working</w:t>
      </w:r>
      <w:r>
        <w:t xml:space="preserve"> </w:t>
      </w:r>
      <w:r>
        <w:rPr>
          <w:bCs/>
          <w:b/>
        </w:rPr>
        <w:t xml:space="preserve">Musician</w:t>
      </w:r>
      <w:r>
        <w:t xml:space="preserve">s. This</w:t>
      </w:r>
      <w:r>
        <w:t xml:space="preserve"> </w:t>
      </w:r>
      <w:r>
        <w:rPr>
          <w:iCs/>
          <w:i/>
        </w:rPr>
        <w:t xml:space="preserve">Thesis Proposal</w:t>
      </w:r>
      <w:r>
        <w:t xml:space="preserve"> </w:t>
      </w:r>
      <w:r>
        <w:t xml:space="preserve">bridges these gaps by positioning Chicago not merely as a backdrop but as an active participant in shaping modern musical practice.</w:t>
      </w:r>
    </w:p>
    <w:bookmarkEnd w:id="22"/>
    <w:bookmarkStart w:id="23" w:name="methodology-a-multi-method-approach"/>
    <w:p>
      <w:pPr>
        <w:pStyle w:val="Heading2"/>
      </w:pPr>
      <w:r>
        <w:t xml:space="preserve">Methodology: A Multi-Method Approach</w:t>
      </w:r>
    </w:p>
    <w:p>
      <w:pPr>
        <w:pStyle w:val="FirstParagraph"/>
      </w:pPr>
      <w:r>
        <w:t xml:space="preserve">This study employs a mixed-methods design to capture the complexity of Chicago’s music ecosystem. Phase 1 involves qualitative interviews with 30+ diverse</w:t>
      </w:r>
      <w:r>
        <w:t xml:space="preserve"> </w:t>
      </w:r>
      <w:r>
        <w:rPr>
          <w:bCs/>
          <w:b/>
        </w:rPr>
        <w:t xml:space="preserve">Musician</w:t>
      </w:r>
      <w:r>
        <w:t xml:space="preserve">s across seven Chicago neighborhoods (e.g., Pilsen, Rogers Park, Englewood), selected for demographic and genre diversity. Semi-structured conversations will explore income sources, community collaborations, and policy perceptions using grounded theory to identify emergent themes. Phase 2 deploys spatial analysis of venue locations (using Foursquare data) against census tract socioeconomic indicators to visualize opportunity disparities. Phase 3 incorporates a digital ethnography component: documenting social media strategies (e.g., Instagram live sessions or TikTok promotion) used by local</w:t>
      </w:r>
      <w:r>
        <w:t xml:space="preserve"> </w:t>
      </w:r>
      <w:r>
        <w:rPr>
          <w:bCs/>
          <w:b/>
        </w:rPr>
        <w:t xml:space="preserve">Musician</w:t>
      </w:r>
      <w:r>
        <w:t xml:space="preserve">s to build audiences. Crucially, all data collection adheres to ethical protocols established by the University of Chicago’s IRB, with participant anonymity guaranteed. The analysis will triangulate these datasets to produce a nuanced portrait of musical resilience in</w:t>
      </w:r>
      <w:r>
        <w:t xml:space="preserve"> </w:t>
      </w:r>
      <w:r>
        <w:rPr>
          <w:bCs/>
          <w:b/>
        </w:rPr>
        <w:t xml:space="preserve">United States Chicago</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research will yield two primary contributions. First, it will develop the "Chicago Creative Ecosystem Model," a framework explaining how geographic proximity to cultural institutions (e.g., Symphony Center, Velvet Lounge), informal mentorship networks, and municipal programs collectively impact a</w:t>
      </w:r>
      <w:r>
        <w:t xml:space="preserve"> </w:t>
      </w:r>
      <w:r>
        <w:rPr>
          <w:bCs/>
          <w:b/>
        </w:rPr>
        <w:t xml:space="preserve">Musician</w:t>
      </w:r>
      <w:r>
        <w:t xml:space="preserve">'s viability. Second, it will generate actionable policy briefs for city officials—such as expanding the "Arts in Every Neighborhood" grant program or advocating for affordable studio spaces in rapidly gentrifying zones. By centering the voices of Chicago’s</w:t>
      </w:r>
      <w:r>
        <w:t xml:space="preserve"> </w:t>
      </w:r>
      <w:r>
        <w:rPr>
          <w:bCs/>
          <w:b/>
        </w:rPr>
        <w:t xml:space="preserve">Musician</w:t>
      </w:r>
      <w:r>
        <w:t xml:space="preserve">s rather than abstract economic metrics, this study directly addresses the United States’ broader conversation about arts equity. Its significance extends beyond academia: community organizations like Chicago Music Exchange and nonprofit The Promontory could integrate findings into advocacy campaigns for musicians’ rights. Most importantly, this</w:t>
      </w:r>
      <w:r>
        <w:t xml:space="preserve"> </w:t>
      </w:r>
      <w:r>
        <w:rPr>
          <w:iCs/>
          <w:i/>
        </w:rPr>
        <w:t xml:space="preserve">Thesis Proposal</w:t>
      </w:r>
      <w:r>
        <w:t xml:space="preserve"> </w:t>
      </w:r>
      <w:r>
        <w:t xml:space="preserve">asserts that understanding the contemporary</w:t>
      </w:r>
      <w:r>
        <w:t xml:space="preserve"> </w:t>
      </w:r>
      <w:r>
        <w:rPr>
          <w:bCs/>
          <w:b/>
        </w:rPr>
        <w:t xml:space="preserve">Musician</w:t>
      </w:r>
      <w:r>
        <w:t xml:space="preserve"> </w:t>
      </w:r>
      <w:r>
        <w:t xml:space="preserve">in</w:t>
      </w:r>
      <w:r>
        <w:t xml:space="preserve"> </w:t>
      </w:r>
      <w:r>
        <w:rPr>
          <w:bCs/>
          <w:b/>
        </w:rPr>
        <w:t xml:space="preserve">United States Chicago</w:t>
      </w:r>
      <w:r>
        <w:t xml:space="preserve"> </w:t>
      </w:r>
      <w:r>
        <w:t xml:space="preserve">is essential to preserving the city’s irreplaceable cultural DNA.</w:t>
      </w:r>
    </w:p>
    <w:bookmarkEnd w:id="24"/>
    <w:bookmarkStart w:id="25" w:name="timeline-and-feasibility"/>
    <w:p>
      <w:pPr>
        <w:pStyle w:val="Heading2"/>
      </w:pPr>
      <w:r>
        <w:t xml:space="preserve">Timeline and Feasibility</w:t>
      </w:r>
    </w:p>
    <w:p>
      <w:pPr>
        <w:pStyle w:val="FirstParagraph"/>
      </w:pPr>
      <w:r>
        <w:t xml:space="preserve">The project aligns with University of Illinois Chicago’s Department of Urban Studies’ focus on equitable development, leveraging existing partnerships with neighborhood arts councils. The 18-month timeline includes: Months 1–3 for IRB approval and participant recruitment; Months 4–9 for fieldwork and interviews; Months 10–15 for data analysis; and Months 16–18 for drafting the thesis and policy recommendations. Feasibility is strengthened by the researcher’s prior work with Chicago-based collectives like Jazz at Lincoln Center’s Midwest affiliate, providing established community access points. Budget constraints will be mitigated through university grants (e.g., UIC Urban Research Seed Fund) and in-kind contributions from local venues offering interview spaces.</w:t>
      </w:r>
    </w:p>
    <w:bookmarkEnd w:id="25"/>
    <w:bookmarkStart w:id="26" w:name="conclusion-the-resonant-future"/>
    <w:p>
      <w:pPr>
        <w:pStyle w:val="Heading2"/>
      </w:pPr>
      <w:r>
        <w:t xml:space="preserve">Conclusion: The Resonant Future</w:t>
      </w:r>
    </w:p>
    <w:p>
      <w:pPr>
        <w:pStyle w:val="FirstParagraph"/>
      </w:pPr>
      <w:r>
        <w:t xml:space="preserve">Chicago’s musical soul has always thrived on adaptation—whether through the improvisational genius of Louis Armstrong or the digital innovation of Chicago house pioneers. Today’s</w:t>
      </w:r>
      <w:r>
        <w:t xml:space="preserve"> </w:t>
      </w:r>
      <w:r>
        <w:rPr>
          <w:bCs/>
          <w:b/>
        </w:rPr>
        <w:t xml:space="preserve">Musician</w:t>
      </w:r>
      <w:r>
        <w:t xml:space="preserve">s are continuing this legacy, but under unprecedented pressures demanding new forms of resilience. This</w:t>
      </w:r>
      <w:r>
        <w:t xml:space="preserve"> </w:t>
      </w:r>
      <w:r>
        <w:rPr>
          <w:iCs/>
          <w:i/>
        </w:rPr>
        <w:t xml:space="preserve">Thesis Proposal</w:t>
      </w:r>
      <w:r>
        <w:t xml:space="preserve"> </w:t>
      </w:r>
      <w:r>
        <w:t xml:space="preserve">argues that their stories are not just about survival; they reveal how culture becomes a catalyst for urban justice in the United States. By documenting the strategies of Chicago’s living artists, this research will illuminate pathways to sustain creativity as an engine of community prosperity. In a time when cultural production is increasingly commodified, understanding the</w:t>
      </w:r>
      <w:r>
        <w:t xml:space="preserve"> </w:t>
      </w:r>
      <w:r>
        <w:rPr>
          <w:bCs/>
          <w:b/>
        </w:rPr>
        <w:t xml:space="preserve">Musician</w:t>
      </w:r>
      <w:r>
        <w:t xml:space="preserve"> </w:t>
      </w:r>
      <w:r>
        <w:t xml:space="preserve">within Chicago’s specific context offers vital insights for cities worldwide seeking to honor their artistic heritage while building inclusive futures. As we stand at the intersection of tradition and transformation, this</w:t>
      </w:r>
      <w:r>
        <w:t xml:space="preserve"> </w:t>
      </w:r>
      <w:r>
        <w:rPr>
          <w:iCs/>
          <w:i/>
        </w:rPr>
        <w:t xml:space="preserve">Thesis Proposal</w:t>
      </w:r>
      <w:r>
        <w:t xml:space="preserve"> </w:t>
      </w:r>
      <w:r>
        <w:t xml:space="preserve">commits to amplifying voices that keep Chicago’s heartbeat alive.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Resonance of the Contemporary Musician in United States Chicago</dc:title>
  <dc:creator/>
  <dc:language>en</dc:language>
  <cp:keywords/>
  <dcterms:created xsi:type="dcterms:W3CDTF">2026-07-21T03:23:25Z</dcterms:created>
  <dcterms:modified xsi:type="dcterms:W3CDTF">2026-07-21T03:23:25Z</dcterms:modified>
</cp:coreProperties>
</file>

<file path=docProps/custom.xml><?xml version="1.0" encoding="utf-8"?>
<Properties xmlns="http://schemas.openxmlformats.org/officeDocument/2006/custom-properties" xmlns:vt="http://schemas.openxmlformats.org/officeDocument/2006/docPropsVTypes"/>
</file>