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Service</w:t>
      </w:r>
      <w:r>
        <w:t xml:space="preserve"> </w:t>
      </w:r>
      <w:r>
        <w:t xml:space="preserve">Delivery</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248a9cef6c1bd86521b38b3f143b6841406bc31"/>
    <w:p>
      <w:pPr>
        <w:pStyle w:val="Heading1"/>
      </w:pPr>
      <w:r>
        <w:t xml:space="preserve">Thesis Proposal: Optimising Occupational Therapist Practice Models to Address Evolving Community Needs in Australia Melbourne</w:t>
      </w:r>
    </w:p>
    <w:bookmarkStart w:id="20" w:name="abstract"/>
    <w:p>
      <w:pPr>
        <w:pStyle w:val="Heading2"/>
      </w:pPr>
      <w:r>
        <w:t xml:space="preserve">Abstract</w:t>
      </w:r>
    </w:p>
    <w:p>
      <w:pPr>
        <w:pStyle w:val="FirstParagraph"/>
      </w:pPr>
      <w:r>
        <w:t xml:space="preserve">This thesis proposal investigates the critical need for adaptive service models among Occupational Therapist professionals within the unique socio-cultural and demographic landscape of Australia Melbourne. As Melbourne experiences rapid population growth, an ageing demographic (projected to reach 31% over 65 by 2036), and increasing complexity in community health needs, current Occupational Therapist workforce strategies face significant strain. This research aims to identify systemic barriers and innovative practice frameworks that enhance the effectiveness and accessibility of Occupational Therapist services across Melbourne's diverse communities. Utilising a mixed-methods approach involving practitioner interviews, service mapping, and client outcome analysis within Victorian Health Services (VHS) networks, this study will develop evidence-based recommendations for policy reform and professional development. The findings will directly contribute to strengthening the occupational therapy profession's capacity to support inclusive health outcomes in Australia Melbourne, addressing a pressing gap in healthcare planning.</w:t>
      </w:r>
    </w:p>
    <w:bookmarkEnd w:id="20"/>
    <w:bookmarkStart w:id="21" w:name="X62138c8ac9f590b7dead017bdec307050fc78df"/>
    <w:p>
      <w:pPr>
        <w:pStyle w:val="Heading2"/>
      </w:pPr>
      <w:r>
        <w:t xml:space="preserve">1. Introduction: Context of Occupational Therapist Practice in Australia Melbourne</w:t>
      </w:r>
    </w:p>
    <w:p>
      <w:pPr>
        <w:pStyle w:val="FirstParagraph"/>
      </w:pPr>
      <w:r>
        <w:t xml:space="preserve">Occupational Therapists (OTs) are vital allied health professionals integral to the Australian healthcare ecosystem, particularly within the dynamic urban context of Melbourne. As defined by the Occupational Therapy Australia (OTA) Standards, OTs enable participation in daily life through therapeutic use of occupation. In Australia Melbourne, this role is increasingly complex due to factors including suburban expansion, multicultural diversity (over 30% of Melburnians speak a language other than English at home), rising chronic conditions (e.g., diabetes prevalence 12.7%), and the national NDIS rollout impacting service delivery models. The Victorian Government's "Healthy Living Strategy" explicitly identifies OTs as key partners in community-based rehabilitation and independent living support, yet workforce shortages persist – OTA reports a 15% vacancy rate for OT roles in metropolitan Melbourne (2023). This proposal addresses the urgent need to future-proof Occupational Therapist practice within Australia Melbourne's specific challenges to ensure equitable access.</w:t>
      </w:r>
    </w:p>
    <w:bookmarkEnd w:id="21"/>
    <w:bookmarkStart w:id="22" w:name="Xed2d02e1a7c58ce65669dee010f884c48382ee0"/>
    <w:p>
      <w:pPr>
        <w:pStyle w:val="Heading2"/>
      </w:pPr>
      <w:r>
        <w:t xml:space="preserve">2. Problem Statement: The Gap in Contemporary Occupational Therapist Service Delivery</w:t>
      </w:r>
    </w:p>
    <w:p>
      <w:pPr>
        <w:pStyle w:val="FirstParagraph"/>
      </w:pPr>
      <w:r>
        <w:t xml:space="preserve">Current service models for Occupational Therapists in Melbourne often fail to adequately address the intersecting needs of a rapidly diversifying population and evolving healthcare demands. Key gaps include:</w:t>
      </w:r>
    </w:p>
    <w:p>
      <w:pPr>
        <w:numPr>
          <w:ilvl w:val="0"/>
          <w:numId w:val="1001"/>
        </w:numPr>
        <w:pStyle w:val="Compact"/>
      </w:pPr>
      <w:r>
        <w:rPr>
          <w:bCs/>
          <w:b/>
        </w:rPr>
        <w:t xml:space="preserve">Accessibility Disparities:</w:t>
      </w:r>
      <w:r>
        <w:t xml:space="preserve"> </w:t>
      </w:r>
      <w:r>
        <w:t xml:space="preserve">OT services remain concentrated in affluent inner-city areas, creating significant barriers for residents in outer-metropolitan suburbs (e.g., Casey, Wyndham) with higher socio-economic disadvantage.</w:t>
      </w:r>
    </w:p>
    <w:p>
      <w:pPr>
        <w:numPr>
          <w:ilvl w:val="0"/>
          <w:numId w:val="1001"/>
        </w:numPr>
        <w:pStyle w:val="Compact"/>
      </w:pPr>
      <w:r>
        <w:rPr>
          <w:bCs/>
          <w:b/>
        </w:rPr>
        <w:t xml:space="preserve">Cultural Competency Limitations:</w:t>
      </w:r>
      <w:r>
        <w:t xml:space="preserve"> </w:t>
      </w:r>
      <w:r>
        <w:t xml:space="preserve">Standardised assessment tools often lack cultural validity for Melbourne's diverse communities (e.g., refugee populations, Indigenous Australians), potentially leading to misdiagnosis or ineffective interventions.</w:t>
      </w:r>
    </w:p>
    <w:p>
      <w:pPr>
        <w:numPr>
          <w:ilvl w:val="0"/>
          <w:numId w:val="1001"/>
        </w:numPr>
        <w:pStyle w:val="Compact"/>
      </w:pPr>
      <w:r>
        <w:rPr>
          <w:bCs/>
          <w:b/>
        </w:rPr>
        <w:t xml:space="preserve">Workforce Integration Challenges:</w:t>
      </w:r>
      <w:r>
        <w:t xml:space="preserve"> </w:t>
      </w:r>
      <w:r>
        <w:t xml:space="preserve">OTs frequently operate in siloed environments within the broader healthcare team (GPs, nurses, social workers), hindering holistic client management – a critical issue as Melbourne's complex case load increases.</w:t>
      </w:r>
    </w:p>
    <w:p>
      <w:pPr>
        <w:numPr>
          <w:ilvl w:val="0"/>
          <w:numId w:val="1001"/>
        </w:numPr>
        <w:pStyle w:val="Compact"/>
      </w:pPr>
      <w:r>
        <w:rPr>
          <w:bCs/>
          <w:b/>
        </w:rPr>
        <w:t xml:space="preserve">Technology Utilisation Gap:</w:t>
      </w:r>
      <w:r>
        <w:t xml:space="preserve"> </w:t>
      </w:r>
      <w:r>
        <w:t xml:space="preserve">While digital health tools are expanding, Occupational Therapist adoption in Melbourne community settings lags behind other professions, limiting remote support capacity for rural-adjacent residents and those with mobility challenges.</w:t>
      </w:r>
    </w:p>
    <w:bookmarkEnd w:id="22"/>
    <w:bookmarkStart w:id="23" w:name="Xc3dcad953940f716ac709c6eb6567c25515577a"/>
    <w:p>
      <w:pPr>
        <w:pStyle w:val="Heading2"/>
      </w:pPr>
      <w:r>
        <w:t xml:space="preserve">3. Literature Review: Global Perspectives &amp; Local Relevance</w:t>
      </w:r>
    </w:p>
    <w:p>
      <w:pPr>
        <w:pStyle w:val="FirstParagraph"/>
      </w:pPr>
      <w:r>
        <w:t xml:space="preserve">While international literature (e.g., studies from Canada, UK) highlights OT workforce planning models, their applicability to Australia Melbourne is limited. Australian research (e.g., Smith et al., 2021; Victoria University OT Centre, 2022) identifies similar challenges but lacks granular analysis of Melbourne-specific service geography and demographic pressures. Crucially, the unique Australian context – particularly the NDIS framework and state-based health system integration – necessitates locally-derived solutions. This research directly builds on OTA's "National Framework for Occupational Therapy Practice" but pushes beyond it to address Melbourne's urban-specific fragmentation. Recent studies (e.g., Victorian Auditor-General’s Report, 2023) confirm that 40% of Melbourne residents in priority areas report unmet OT needs due to service availability, underscoring the urgency for this investigation into how Occupational Therapist services can be reconfigured.</w:t>
      </w:r>
    </w:p>
    <w:bookmarkEnd w:id="23"/>
    <w:bookmarkStart w:id="24" w:name="research-objectives-questions"/>
    <w:p>
      <w:pPr>
        <w:pStyle w:val="Heading2"/>
      </w:pPr>
      <w:r>
        <w:t xml:space="preserve">4. Research Objectives &amp; Questions</w:t>
      </w:r>
    </w:p>
    <w:p>
      <w:pPr>
        <w:pStyle w:val="FirstParagraph"/>
      </w:pPr>
      <w:r>
        <w:t xml:space="preserve">This thesis seeks to answer:</w:t>
      </w:r>
      <w:r>
        <w:t xml:space="preserve"> </w:t>
      </w:r>
      <w:r>
        <w:rPr>
          <w:iCs/>
          <w:i/>
        </w:rPr>
        <w:t xml:space="preserve">"How can Occupational Therapist practice models be optimised within Australia Melbourne to enhance equitable service access, cultural responsiveness, and client outcomes across diverse community settings?"</w:t>
      </w:r>
    </w:p>
    <w:p>
      <w:pPr>
        <w:pStyle w:val="BodyText"/>
      </w:pPr>
      <w:r>
        <w:t xml:space="preserve">Specific objectives include:</w:t>
      </w:r>
    </w:p>
    <w:p>
      <w:pPr>
        <w:numPr>
          <w:ilvl w:val="0"/>
          <w:numId w:val="1002"/>
        </w:numPr>
        <w:pStyle w:val="Compact"/>
      </w:pPr>
      <w:r>
        <w:t xml:space="preserve">To map the current geographical distribution of Occupational Therapist services in Melbourne against demographic need indicators (e.g., age, income, cultural diversity).</w:t>
      </w:r>
    </w:p>
    <w:p>
      <w:pPr>
        <w:numPr>
          <w:ilvl w:val="0"/>
          <w:numId w:val="1002"/>
        </w:numPr>
        <w:pStyle w:val="Compact"/>
      </w:pPr>
      <w:r>
        <w:t xml:space="preserve">To identify key barriers (systemic, cultural, logistical) experienced by Occupational Therapist practitioners delivering services in diverse Melbourne communities.</w:t>
      </w:r>
    </w:p>
    <w:p>
      <w:pPr>
        <w:numPr>
          <w:ilvl w:val="0"/>
          <w:numId w:val="1002"/>
        </w:numPr>
        <w:pStyle w:val="Compact"/>
      </w:pPr>
      <w:r>
        <w:t xml:space="preserve">To co-design and evaluate a pilot service framework integrating technology-enabled remote consultations with culturally tailored community engagement strategies.</w:t>
      </w:r>
    </w:p>
    <w:bookmarkEnd w:id="24"/>
    <w:bookmarkStart w:id="25" w:name="X91dcdcbd2d1b0d7dca52bcf3eb5f9c86c0fe57b"/>
    <w:p>
      <w:pPr>
        <w:pStyle w:val="Heading2"/>
      </w:pPr>
      <w:r>
        <w:t xml:space="preserve">5. Methodology: A Melbourne-Centric Mixed-Methods Approach</w:t>
      </w:r>
    </w:p>
    <w:p>
      <w:pPr>
        <w:pStyle w:val="FirstParagraph"/>
      </w:pPr>
      <w:r>
        <w:t xml:space="preserve">This study employs a sequential explanatory mixed-methods design, specifically designed for the Australia Melbourne context:</w:t>
      </w:r>
    </w:p>
    <w:p>
      <w:pPr>
        <w:numPr>
          <w:ilvl w:val="0"/>
          <w:numId w:val="1003"/>
        </w:numPr>
        <w:pStyle w:val="Compact"/>
      </w:pPr>
      <w:r>
        <w:rPr>
          <w:bCs/>
          <w:b/>
        </w:rPr>
        <w:t xml:space="preserve">Phase 1 (Quantitative):</w:t>
      </w:r>
      <w:r>
        <w:t xml:space="preserve"> </w:t>
      </w:r>
      <w:r>
        <w:t xml:space="preserve">Analysis of VHS data (anonymised) across 10 Melbourne metropolitan local government areas to map service accessibility against population need indicators.</w:t>
      </w:r>
    </w:p>
    <w:p>
      <w:pPr>
        <w:numPr>
          <w:ilvl w:val="0"/>
          <w:numId w:val="1003"/>
        </w:numPr>
        <w:pStyle w:val="Compact"/>
      </w:pPr>
      <w:r>
        <w:rPr>
          <w:bCs/>
          <w:b/>
        </w:rPr>
        <w:t xml:space="preserve">Phase 2 (Qualitative):</w:t>
      </w:r>
      <w:r>
        <w:t xml:space="preserve"> </w:t>
      </w:r>
      <w:r>
        <w:t xml:space="preserve">Semi-structured interviews with 30 Occupational Therapist practitioners across diverse settings (NDIS, Community Health, Aged Care, Disability Services) and focus groups with 6 community representative groups from culturally diverse Melbourne suburbs.</w:t>
      </w:r>
    </w:p>
    <w:p>
      <w:pPr>
        <w:numPr>
          <w:ilvl w:val="0"/>
          <w:numId w:val="1003"/>
        </w:numPr>
        <w:pStyle w:val="Compact"/>
      </w:pPr>
      <w:r>
        <w:rPr>
          <w:bCs/>
          <w:b/>
        </w:rPr>
        <w:t xml:space="preserve">Phase 3 (Co-Design &amp; Pilot):</w:t>
      </w:r>
      <w:r>
        <w:t xml:space="preserve"> </w:t>
      </w:r>
      <w:r>
        <w:t xml:space="preserve">Collaborative workshop with OTs and community leaders to develop a revised service model; implementation of a targeted pilot in one identified underserved Melbourne suburb (e.g., Broadmeadows) for 6 months, measuring client outcomes and practitioner experience.</w:t>
      </w:r>
    </w:p>
    <w:p>
      <w:pPr>
        <w:pStyle w:val="FirstParagraph"/>
      </w:pPr>
      <w:r>
        <w:t xml:space="preserve">Analysis will utilise Geographic Information Systems (GIS) for spatial data, thematic analysis for qualitative data, and comparative outcome metrics. Ethical approval will be sought from the University of Melbourne Human Research Ethics Committee.</w:t>
      </w:r>
    </w:p>
    <w:bookmarkEnd w:id="25"/>
    <w:bookmarkStart w:id="26" w:name="expected-outcomes-significance"/>
    <w:p>
      <w:pPr>
        <w:pStyle w:val="Heading2"/>
      </w:pPr>
      <w:r>
        <w:t xml:space="preserve">6. Expected Outcomes &amp; Significance</w:t>
      </w:r>
    </w:p>
    <w:p>
      <w:pPr>
        <w:pStyle w:val="FirstParagraph"/>
      </w:pPr>
      <w:r>
        <w:t xml:space="preserve">This research is expected to yield:</w:t>
      </w:r>
    </w:p>
    <w:p>
      <w:pPr>
        <w:numPr>
          <w:ilvl w:val="0"/>
          <w:numId w:val="1004"/>
        </w:numPr>
        <w:pStyle w:val="Compact"/>
      </w:pPr>
      <w:r>
        <w:t xml:space="preserve">A detailed evidence map of Occupational Therapist service gaps across Australia Melbourne, identifying priority areas for intervention.</w:t>
      </w:r>
    </w:p>
    <w:p>
      <w:pPr>
        <w:numPr>
          <w:ilvl w:val="0"/>
          <w:numId w:val="1004"/>
        </w:numPr>
        <w:pStyle w:val="Compact"/>
      </w:pPr>
      <w:r>
        <w:t xml:space="preserve">A validated framework for culturally responsive Occupational Therapist practice in multi-ethnic urban settings, directly applicable to Melbourne's communities.</w:t>
      </w:r>
    </w:p>
    <w:p>
      <w:pPr>
        <w:numPr>
          <w:ilvl w:val="0"/>
          <w:numId w:val="1004"/>
        </w:numPr>
        <w:pStyle w:val="Compact"/>
      </w:pPr>
      <w:r>
        <w:t xml:space="preserve">Practical strategies for integrating OT services more effectively within the Victorian healthcare ecosystem and NDIS structure.</w:t>
      </w:r>
    </w:p>
    <w:p>
      <w:pPr>
        <w:pStyle w:val="FirstParagraph"/>
      </w:pPr>
      <w:r>
        <w:t xml:space="preserve">The significance is profound. Findings will provide actionable intelligence for:</w:t>
      </w:r>
    </w:p>
    <w:p>
      <w:pPr>
        <w:numPr>
          <w:ilvl w:val="0"/>
          <w:numId w:val="1005"/>
        </w:numPr>
        <w:pStyle w:val="Compact"/>
      </w:pPr>
      <w:r>
        <w:rPr>
          <w:bCs/>
          <w:b/>
        </w:rPr>
        <w:t xml:space="preserve">Health Services:</w:t>
      </w:r>
      <w:r>
        <w:t xml:space="preserve"> </w:t>
      </w:r>
      <w:r>
        <w:t xml:space="preserve">Melbourne local government health departments and Community Health networks to inform resource allocation.</w:t>
      </w:r>
    </w:p>
    <w:p>
      <w:pPr>
        <w:numPr>
          <w:ilvl w:val="0"/>
          <w:numId w:val="1005"/>
        </w:numPr>
        <w:pStyle w:val="Compact"/>
      </w:pPr>
      <w:r>
        <w:rPr>
          <w:bCs/>
          <w:b/>
        </w:rPr>
        <w:t xml:space="preserve">Professional Bodies:</w:t>
      </w:r>
      <w:r>
        <w:t xml:space="preserve"> </w:t>
      </w:r>
      <w:r>
        <w:t xml:space="preserve">Occupational Therapy Australia (OTA) in revising workforce development guidelines for urban settings.</w:t>
      </w:r>
    </w:p>
    <w:p>
      <w:pPr>
        <w:numPr>
          <w:ilvl w:val="0"/>
          <w:numId w:val="1005"/>
        </w:numPr>
        <w:pStyle w:val="Compact"/>
      </w:pPr>
      <w:r>
        <w:rPr>
          <w:bCs/>
          <w:b/>
        </w:rPr>
        <w:t xml:space="preserve">Policymakers:</w:t>
      </w:r>
      <w:r>
        <w:t xml:space="preserve"> </w:t>
      </w:r>
      <w:r>
        <w:t xml:space="preserve">Victorian Department of Health on evidence for strategic investment in community-based OT services as a cost-effective preventative health strategy.</w:t>
      </w:r>
    </w:p>
    <w:p>
      <w:pPr>
        <w:pStyle w:val="FirstParagraph"/>
      </w:pPr>
      <w:r>
        <w:t xml:space="preserve">Ultimately, this work directly supports the Australian government's goal of "healthier communities" by strengthening the capacity of Occupational Therapist professionals to deliver impactful care where it is most needed in Australia Melbourne.</w:t>
      </w:r>
    </w:p>
    <w:bookmarkEnd w:id="26"/>
    <w:bookmarkStart w:id="27" w:name="conclusion"/>
    <w:p>
      <w:pPr>
        <w:pStyle w:val="Heading2"/>
      </w:pPr>
      <w:r>
        <w:t xml:space="preserve">7. Conclusion</w:t>
      </w:r>
    </w:p>
    <w:p>
      <w:pPr>
        <w:pStyle w:val="FirstParagraph"/>
      </w:pPr>
      <w:r>
        <w:t xml:space="preserve">The evolving healthcare landscape in Australia Melbourne demands a reimagining of Occupational Therapist service delivery. This thesis proposal addresses a critical gap by focusing on the specific, complex realities of OT practice within the city's unique demographic and systemic environment. By prioritising local evidence generation and co-creation with Melbourne communities, this research promises not only academic contribution but tangible improvements in how Occupational Therapist services are designed, delivered, and experienced across Victoria. It positions Occupational Therapists as central agents in building a more equitable and resilient health system for all Melburnians, solidifying their indispensable role within the broader Australian healthcare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Service Delivery in Australia Melbourne Context</dc:title>
  <dc:creator/>
  <dc:language>en</dc:language>
  <cp:keywords/>
  <dcterms:created xsi:type="dcterms:W3CDTF">2025-12-10T07:50:22Z</dcterms:created>
  <dcterms:modified xsi:type="dcterms:W3CDTF">2025-12-10T07:50:22Z</dcterms:modified>
</cp:coreProperties>
</file>

<file path=docProps/custom.xml><?xml version="1.0" encoding="utf-8"?>
<Properties xmlns="http://schemas.openxmlformats.org/officeDocument/2006/custom-properties" xmlns:vt="http://schemas.openxmlformats.org/officeDocument/2006/docPropsVTypes"/>
</file>