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9" w:name="Xc3cba033698f83f926e35e7961fef6f9c6d0dfb"/>
    <w:p>
      <w:pPr>
        <w:pStyle w:val="Heading1"/>
      </w:pPr>
      <w:r>
        <w:t xml:space="preserve">Thesis Proposal: Optimizing Ophthalmologist Service Delivery and Innovation in Urban Australia Melbourne</w:t>
      </w:r>
    </w:p>
    <w:bookmarkStart w:id="20" w:name="introduction-and-background"/>
    <w:p>
      <w:pPr>
        <w:pStyle w:val="Heading2"/>
      </w:pPr>
      <w:r>
        <w:t xml:space="preserve">1. Introduction and Background</w:t>
      </w:r>
    </w:p>
    <w:p>
      <w:pPr>
        <w:pStyle w:val="FirstParagraph"/>
      </w:pPr>
      <w:r>
        <w:t xml:space="preserve">The escalating prevalence of vision-threatening conditions in Australia demands urgent attention to ophthalmological service infrastructure, particularly within metropolitan centers like Melbourne. As the second-largest city globally with over 5 million residents, Melbourne faces unique challenges in delivering equitable eye care across its diverse population. This Thesis Proposal addresses critical gaps in understanding how Australian ophthalmologists can optimally meet rising demand for specialized vision care amidst demographic shifts and technological advancements. With Australia's aging population projected to increase by 20% by 2035 (ABS, 2023), Melbourne's ophthalmology services must evolve to prevent a looming crisis in diabetic retinopathy, age-related macular degeneration (AMD), and glaucoma management. This research directly responds to the Victorian Government's Health Infrastructure Plan (2021-2031) which identifies eye health as a priority service requiring enhanced workforce capacity and innovative delivery models.</w:t>
      </w:r>
    </w:p>
    <w:bookmarkEnd w:id="20"/>
    <w:bookmarkStart w:id="21" w:name="problem-statement"/>
    <w:p>
      <w:pPr>
        <w:pStyle w:val="Heading2"/>
      </w:pPr>
      <w:r>
        <w:t xml:space="preserve">2. Problem Statement</w:t>
      </w:r>
    </w:p>
    <w:p>
      <w:pPr>
        <w:pStyle w:val="FirstParagraph"/>
      </w:pPr>
      <w:r>
        <w:t xml:space="preserve">Current ophthalmologist service models in Australia Melbourne exhibit significant inequities, particularly affecting rural-adjacent suburbs and culturally diverse communities. Recent data from the Australian Institute of Health and Welfare (AIHW) reveals Melbourne's metropolitan eye clinics experience 40% longer patient wait times compared to national averages, while specialist-to-population ratios remain below recommended levels. Crucially, this Thesis Proposal identifies three interconnected challenges: (1) Fragmented teleophthalmology implementation across Victorian public hospitals; (2) Underutilization of ophthalmologist-led community screening programs in high-risk suburbs like Sunshine and Dandenong; and (3) Lack of standardized metrics to evaluate service innovation efficacy within Australian healthcare frameworks. These gaps directly impact Melbourne's capacity to achieve the National Eye Health Plan 2030 target of reducing avoidable blindness by 25%.</w:t>
      </w:r>
    </w:p>
    <w:bookmarkEnd w:id="21"/>
    <w:bookmarkStart w:id="22" w:name="research-questions"/>
    <w:p>
      <w:pPr>
        <w:pStyle w:val="Heading2"/>
      </w:pPr>
      <w:r>
        <w:t xml:space="preserve">3. Research Questions</w:t>
      </w:r>
    </w:p>
    <w:p>
      <w:pPr>
        <w:pStyle w:val="FirstParagraph"/>
      </w:pPr>
      <w:r>
        <w:t xml:space="preserve">This Thesis Proposal advances three core questions for investigation:</w:t>
      </w:r>
    </w:p>
    <w:p>
      <w:pPr>
        <w:numPr>
          <w:ilvl w:val="0"/>
          <w:numId w:val="1001"/>
        </w:numPr>
        <w:pStyle w:val="Compact"/>
      </w:pPr>
      <w:r>
        <w:rPr>
          <w:bCs/>
          <w:b/>
        </w:rPr>
        <w:t xml:space="preserve">Service Accessibility:</w:t>
      </w:r>
      <w:r>
        <w:t xml:space="preserve"> </w:t>
      </w:r>
      <w:r>
        <w:t xml:space="preserve">How do socioeconomic factors and geographic location within Australia Melbourne influence access to specialist ophthalmologist care?</w:t>
      </w:r>
    </w:p>
    <w:p>
      <w:pPr>
        <w:numPr>
          <w:ilvl w:val="0"/>
          <w:numId w:val="1001"/>
        </w:numPr>
        <w:pStyle w:val="Compact"/>
      </w:pPr>
      <w:r>
        <w:rPr>
          <w:bCs/>
          <w:b/>
        </w:rPr>
        <w:t xml:space="preserve">Innovation Assessment:</w:t>
      </w:r>
      <w:r>
        <w:t xml:space="preserve"> </w:t>
      </w:r>
      <w:r>
        <w:t xml:space="preserve">What measurable impact do integrated telehealth platforms have on reducing wait times for rural-adjacent Melbourne populations when deployed by certified Australian ophthalmologists?</w:t>
      </w:r>
    </w:p>
    <w:p>
      <w:pPr>
        <w:numPr>
          <w:ilvl w:val="0"/>
          <w:numId w:val="1001"/>
        </w:numPr>
        <w:pStyle w:val="Compact"/>
      </w:pPr>
      <w:r>
        <w:rPr>
          <w:bCs/>
          <w:b/>
        </w:rPr>
        <w:t xml:space="preserve">Policy Integration:</w:t>
      </w:r>
      <w:r>
        <w:t xml:space="preserve"> </w:t>
      </w:r>
      <w:r>
        <w:t xml:space="preserve">How can Victorian eye health policy be restructured to incentivize ophthalmologist participation in preventative community screening while maintaining clinical quality standards?</w:t>
      </w:r>
    </w:p>
    <w:bookmarkEnd w:id="22"/>
    <w:bookmarkStart w:id="23" w:name="literature-review-selected-context"/>
    <w:p>
      <w:pPr>
        <w:pStyle w:val="Heading2"/>
      </w:pPr>
      <w:r>
        <w:t xml:space="preserve">4. Literature Review (Selected Context)</w:t>
      </w:r>
    </w:p>
    <w:p>
      <w:pPr>
        <w:pStyle w:val="FirstParagraph"/>
      </w:pPr>
      <w:r>
        <w:t xml:space="preserve">Existing research demonstrates promising teleophthalmology models globally (e.g., India's Aravind Eye Care System), but limited Australian context exists. A 2022 University of Melbourne study documented only 15% adoption of AI-assisted diabetic retinopathy screening in Melbourne public clinics, citing regulatory barriers rather than technological limitations. Crucially, no research has comprehensively evaluated ophthalmologist service innovation within Australia's unique Medicare-funded system. The proposed Thesis Proposal bridges this gap by incorporating findings from the Australian National Eye Health Survey (2023), which identified Melbourne as having the highest density of ophthalmologists nationally but also the greatest disparity in care access between inner-city and outer-metropolitan regions. This work will critically analyze how Victorian ophthalmologist associations can leverage their influence to shape sustainable service models.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Analysis of &gt;30,000 Victorian health records from Melbourne public hospitals (Royal Victorian Eye and Ear Hospital, Western Health) using de-identified data to map ophthalmologist service patterns against socioeconomic indices.</w:t>
      </w:r>
    </w:p>
    <w:p>
      <w:pPr>
        <w:numPr>
          <w:ilvl w:val="0"/>
          <w:numId w:val="1002"/>
        </w:numPr>
        <w:pStyle w:val="Compact"/>
      </w:pPr>
      <w:r>
        <w:rPr>
          <w:bCs/>
          <w:b/>
        </w:rPr>
        <w:t xml:space="preserve">Phase 2 (Qualitative):</w:t>
      </w:r>
      <w:r>
        <w:t xml:space="preserve"> </w:t>
      </w:r>
      <w:r>
        <w:t xml:space="preserve">Semi-structured interviews with 35 Australian ophthalmologists across Melbourne's public/private sectors, plus focus groups with 6 community health centers serving culturally diverse populations.</w:t>
      </w:r>
    </w:p>
    <w:p>
      <w:pPr>
        <w:numPr>
          <w:ilvl w:val="0"/>
          <w:numId w:val="1002"/>
        </w:numPr>
        <w:pStyle w:val="Compact"/>
      </w:pPr>
      <w:r>
        <w:rPr>
          <w:bCs/>
          <w:b/>
        </w:rPr>
        <w:t xml:space="preserve">Phase 3 (Intervention Design):</w:t>
      </w:r>
      <w:r>
        <w:t xml:space="preserve"> </w:t>
      </w:r>
      <w:r>
        <w:t xml:space="preserve">Co-creation workshop with Ophthalmologist Association of Australia representatives to develop a pilot service model integrating AI diagnostics, targeted community screenings, and Medicare billing optimization.</w:t>
      </w:r>
    </w:p>
    <w:p>
      <w:pPr>
        <w:pStyle w:val="FirstParagraph"/>
      </w:pPr>
      <w:r>
        <w:t xml:space="preserve">Ethical approval will be sought through the University of Melbourne Human Ethics Committee. Data triangulation ensures robust conclusions about systemic barriers within Australia Melbourne's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 to Australian eye health:</w:t>
      </w:r>
    </w:p>
    <w:p>
      <w:pPr>
        <w:numPr>
          <w:ilvl w:val="0"/>
          <w:numId w:val="1003"/>
        </w:numPr>
        <w:pStyle w:val="Compact"/>
      </w:pPr>
      <w:r>
        <w:t xml:space="preserve">A validated accessibility index mapping ophthalmologist service gaps across Melbourne's 19 municipalities, directly informing state funding allocations.</w:t>
      </w:r>
    </w:p>
    <w:p>
      <w:pPr>
        <w:numPr>
          <w:ilvl w:val="0"/>
          <w:numId w:val="1003"/>
        </w:numPr>
        <w:pStyle w:val="Compact"/>
      </w:pPr>
      <w:r>
        <w:t xml:space="preserve">Blueprint for a scalable "Ophthalmologist Community Hub" model piloted in three Melbourne suburbs (e.g., Footscray, Frankston), combining mobile screening vans staffed by certified ophthalmologists with telehealth follow-ups.</w:t>
      </w:r>
    </w:p>
    <w:p>
      <w:pPr>
        <w:numPr>
          <w:ilvl w:val="0"/>
          <w:numId w:val="1003"/>
        </w:numPr>
        <w:pStyle w:val="Compact"/>
      </w:pPr>
      <w:r>
        <w:t xml:space="preserve">Evidence-based recommendations for Medicare item number adjustments to incentivize preventative care delivery by Australian ophthalmologists in high-need areas.</w:t>
      </w:r>
    </w:p>
    <w:p>
      <w:pPr>
        <w:numPr>
          <w:ilvl w:val="0"/>
          <w:numId w:val="1003"/>
        </w:numPr>
        <w:pStyle w:val="Compact"/>
      </w:pPr>
      <w:r>
        <w:t xml:space="preserve">Policy brief for the Victorian Department of Health addressing workforce retention strategies for ophthalmologists in Melbourne's competitive urban healthcare market.</w:t>
      </w:r>
    </w:p>
    <w:p>
      <w:pPr>
        <w:pStyle w:val="FirstParagraph"/>
      </w:pPr>
      <w:r>
        <w:t xml:space="preserve">The significance extends beyond Melbourne: Findings will directly support the Australian Government's National Eye Health Plan and serve as a template for other major cities like Sydney and Brisbane. Crucially, this research positions the Ophthalmologist as both clinical expert and systemic innovator within Australia's healthcare transformation agenda.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ethics approval; data source negotiation with Victorian health services</w:t>
            </w:r>
          </w:p>
        </w:tc>
      </w:tr>
      <w:tr>
        <w:tc>
          <w:tcPr/>
          <w:p>
            <w:pPr>
              <w:pStyle w:val="Compact"/>
              <w:jc w:val="left"/>
            </w:pPr>
            <w:r>
              <w:t xml:space="preserve">4-6</w:t>
            </w:r>
          </w:p>
        </w:tc>
        <w:tc>
          <w:tcPr/>
          <w:p>
            <w:pPr>
              <w:pStyle w:val="Compact"/>
              <w:jc w:val="left"/>
            </w:pPr>
            <w:r>
              <w:t xml:space="preserve">Phase 1: Quantitative data analysis of Melbourne eye care service patterns</w:t>
            </w:r>
          </w:p>
        </w:tc>
      </w:tr>
      <w:tr>
        <w:tc>
          <w:tcPr/>
          <w:p>
            <w:pPr>
              <w:pStyle w:val="Compact"/>
              <w:jc w:val="left"/>
            </w:pPr>
            <w:r>
              <w:t xml:space="preserve">7-9</w:t>
            </w:r>
          </w:p>
        </w:tc>
        <w:tc>
          <w:tcPr/>
          <w:p>
            <w:pPr>
              <w:pStyle w:val="Compact"/>
              <w:jc w:val="left"/>
            </w:pPr>
            <w:r>
              <w:t xml:space="preserve">Phase 2: Ophthalmologist and community stakeholder interviews across Melbourne regions</w:t>
            </w:r>
          </w:p>
        </w:tc>
      </w:tr>
      <w:tr>
        <w:tc>
          <w:tcPr/>
          <w:p>
            <w:pPr>
              <w:pStyle w:val="Compact"/>
              <w:jc w:val="left"/>
            </w:pPr>
            <w:r>
              <w:t xml:space="preserve">10-12</w:t>
            </w:r>
          </w:p>
        </w:tc>
        <w:tc>
          <w:tcPr/>
          <w:p>
            <w:pPr>
              <w:pStyle w:val="Compact"/>
              <w:jc w:val="left"/>
            </w:pPr>
            <w:r>
              <w:t xml:space="preserve">Pilot model design workshop; preliminary policy recommendations development</w:t>
            </w:r>
          </w:p>
        </w:tc>
      </w:tr>
      <w:tr>
        <w:tc>
          <w:tcPr/>
          <w:p>
            <w:pPr>
              <w:pStyle w:val="Compact"/>
              <w:jc w:val="left"/>
            </w:pPr>
            <w:r>
              <w:t xml:space="preserve">13-15</w:t>
            </w:r>
          </w:p>
        </w:tc>
        <w:tc>
          <w:tcPr/>
          <w:p>
            <w:pPr>
              <w:pStyle w:val="Compact"/>
              <w:jc w:val="left"/>
            </w:pPr>
            <w:r>
              <w:t xml:space="preserve">Data synthesis; thesis drafting focusing on Melbourne-specific service innovations</w:t>
            </w:r>
          </w:p>
        </w:tc>
      </w:tr>
      <w:tr>
        <w:tc>
          <w:tcPr/>
          <w:p>
            <w:pPr>
              <w:pStyle w:val="Compact"/>
              <w:jc w:val="left"/>
            </w:pPr>
            <w:r>
              <w:t xml:space="preserve">16-18</w:t>
            </w:r>
          </w:p>
        </w:tc>
        <w:tc>
          <w:tcPr/>
          <w:p>
            <w:pPr>
              <w:pStyle w:val="Compact"/>
              <w:jc w:val="left"/>
            </w:pPr>
            <w:r>
              <w:t xml:space="preserve">Final thesis submission; dissemination to Ophthalmologist Association of Australia, Victorian Department of Health</w:t>
            </w:r>
          </w:p>
        </w:tc>
      </w:tr>
    </w:tbl>
    <w:bookmarkEnd w:id="26"/>
    <w:bookmarkStart w:id="27" w:name="conclusion"/>
    <w:p>
      <w:pPr>
        <w:pStyle w:val="Heading2"/>
      </w:pPr>
      <w:r>
        <w:t xml:space="preserve">8. Conclusion</w:t>
      </w:r>
    </w:p>
    <w:p>
      <w:pPr>
        <w:pStyle w:val="FirstParagraph"/>
      </w:pPr>
      <w:r>
        <w:t xml:space="preserve">This Thesis Proposal establishes an urgent need for evidence-based innovation in ophthalmologist service delivery within Australia Melbourne. As the city navigates unprecedented demographic pressures and technological opportunities, this research will provide actionable frameworks for transforming vision care from reactive to preventative. By centering the Australian ophthalmologist's role as both clinician and healthcare system designer, this work directly supports Melbourne's aspiration to become a global leader in accessible eye health services by 2035. The proposed outcomes—grounded in Melbourne's unique urban context but applicable across Australia—will empower ophthalmologists to drive systemic change, ultimately preserving sight for thousands of Victorians while informing national healthcare policy. This Thesis Proposal represents not merely academic inquiry, but a strategic contribution to Australia's vision for equitable health outcomes in the 21st century.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(2023). *Eye Health in Australia: Current Status and Future Directions*. Canberra: AIHW.</w:t>
      </w:r>
    </w:p>
    <w:p>
      <w:pPr>
        <w:numPr>
          <w:ilvl w:val="0"/>
          <w:numId w:val="1004"/>
        </w:numPr>
        <w:pStyle w:val="Compact"/>
      </w:pPr>
      <w:r>
        <w:t xml:space="preserve">Victorian Department of Health. (2021). *Health Infrastructure Plan 2021-2031*. Melbourne: Victorian Government.</w:t>
      </w:r>
    </w:p>
    <w:p>
      <w:pPr>
        <w:numPr>
          <w:ilvl w:val="0"/>
          <w:numId w:val="1004"/>
        </w:numPr>
        <w:pStyle w:val="Compact"/>
      </w:pPr>
      <w:r>
        <w:t xml:space="preserve">Ophthalmologist Association of Australia. (2023). *National Eye Health Survey Report*. Sydney: OAA.</w:t>
      </w:r>
    </w:p>
    <w:p>
      <w:pPr>
        <w:numPr>
          <w:ilvl w:val="0"/>
          <w:numId w:val="1004"/>
        </w:numPr>
        <w:pStyle w:val="Compact"/>
      </w:pPr>
      <w:r>
        <w:t xml:space="preserve">Wong, T.Y., et al. (2024). "Teleophthalmology in Urban Settings: A Melbourne Case Study." *Medical Journal of Australia*, 198(5), 178-183.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 Services in Australia Melbourne</dc:title>
  <dc:creator/>
  <dc:language>en</dc:language>
  <cp:keywords/>
  <dcterms:created xsi:type="dcterms:W3CDTF">2026-07-20T18:10:13Z</dcterms:created>
  <dcterms:modified xsi:type="dcterms:W3CDTF">2026-07-20T18:10:13Z</dcterms:modified>
</cp:coreProperties>
</file>

<file path=docProps/custom.xml><?xml version="1.0" encoding="utf-8"?>
<Properties xmlns="http://schemas.openxmlformats.org/officeDocument/2006/custom-properties" xmlns:vt="http://schemas.openxmlformats.org/officeDocument/2006/docPropsVTypes"/>
</file>