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27b16fb72d13f469f9b9121aae3dc5f2a943465"/>
    <w:p>
      <w:pPr>
        <w:pStyle w:val="Heading1"/>
      </w:pPr>
      <w:r>
        <w:t xml:space="preserve">Thesis Proposal: Addressing Critical Gaps in Ophthalmic Care through Strategic Development of Ophthalmologist Services in Bangladesh Dhaka</w:t>
      </w:r>
    </w:p>
    <w:bookmarkStart w:id="20" w:name="i.-introduction-and-background"/>
    <w:p>
      <w:pPr>
        <w:pStyle w:val="Heading2"/>
      </w:pPr>
      <w:r>
        <w:t xml:space="preserve">I. Introduction and Background</w:t>
      </w:r>
    </w:p>
    <w:p>
      <w:pPr>
        <w:pStyle w:val="FirstParagraph"/>
      </w:pPr>
      <w:r>
        <w:t xml:space="preserve">The burden of visual impairment and blindness remains a critical public health challenge in Bangladesh, with Dhaka—the nation's capital housing over 21 million residents—facing particularly acute constraints in eye care delivery. According to the World Health Organization (WHO), approximately 30% of Bangladesh's blind population resides in urban centers like Dhaka, where rapid urbanization has exacerbated access barriers. The current density of</w:t>
      </w:r>
      <w:r>
        <w:t xml:space="preserve"> </w:t>
      </w:r>
      <w:r>
        <w:rPr>
          <w:bCs/>
          <w:b/>
        </w:rPr>
        <w:t xml:space="preserve">Ophthalmologist</w:t>
      </w:r>
      <w:r>
        <w:t xml:space="preserve"> </w:t>
      </w:r>
      <w:r>
        <w:t xml:space="preserve">services stands at a mere 1 ophthalmologist per 500,000 people in Bangladesh—far below the WHO-recommended ratio of 1:15,739. This severe shortage is especially pronounced in Dhaka's low-income neighborhoods, where over 65% of the population lacks affordable access to specialized eye care. Without urgent intervention, avoidable blindness from conditions like diabetic retinopathy and cataracts will continue to cripple productivity and deepen poverty cycles across Bangladesh Dhaka.</w:t>
      </w:r>
    </w:p>
    <w:bookmarkEnd w:id="20"/>
    <w:bookmarkStart w:id="21" w:name="ii.-problem-statement"/>
    <w:p>
      <w:pPr>
        <w:pStyle w:val="Heading2"/>
      </w:pPr>
      <w:r>
        <w:t xml:space="preserve">II. Problem Statement</w:t>
      </w:r>
    </w:p>
    <w:p>
      <w:pPr>
        <w:pStyle w:val="FirstParagraph"/>
      </w:pPr>
      <w:r>
        <w:t xml:space="preserve">The current ophthalmic workforce crisis in Dhaka manifests through multiple systemic failures: (1) Only 30% of government eye hospitals operate at full capacity due to staff shortages; (2) Private facilities charge fees 5–7 times higher than subsidized public services, pricing out low-income patients; and (3) Rural-to-urban migration has created a surge in demand without corresponding increases in</w:t>
      </w:r>
      <w:r>
        <w:t xml:space="preserve"> </w:t>
      </w:r>
      <w:r>
        <w:rPr>
          <w:bCs/>
          <w:b/>
        </w:rPr>
        <w:t xml:space="preserve">Ophthalmologist</w:t>
      </w:r>
      <w:r>
        <w:t xml:space="preserve"> </w:t>
      </w:r>
      <w:r>
        <w:t xml:space="preserve">availability. Compounding this, Dhaka's traffic congestion delays emergency cases by up to 4 hours, directly contributing to preventable vision loss. A recent Bangladesh Health Survey (2023) documented that 18% of Dhaka's urban poor report unmet eye care needs due to distance or cost—figures projected to rise by 35% by 2030 without strategic investment. This Thesis Proposal directly confronts these gaps through a multidisciplinary analysis of workforce distribution, service accessibility, and policy implementation in Bangladesh Dhaka.</w:t>
      </w:r>
    </w:p>
    <w:bookmarkEnd w:id="21"/>
    <w:bookmarkStart w:id="22" w:name="iii.-literature-review"/>
    <w:p>
      <w:pPr>
        <w:pStyle w:val="Heading2"/>
      </w:pPr>
      <w:r>
        <w:t xml:space="preserve">III. Literature Review</w:t>
      </w:r>
    </w:p>
    <w:p>
      <w:pPr>
        <w:pStyle w:val="FirstParagraph"/>
      </w:pPr>
      <w:r>
        <w:t xml:space="preserve">Existing research underscores Bangladesh's ophthalmic challenges but lacks localized Dhaka-focused solutions. Studies by the International Centre for Eye Health (ICEH) highlight that 70% of ophthalmologists in Bangladesh are concentrated in urban centers, with Dhaka alone hosting 60% of the national specialist pool despite serving only 15% of the population. However, this distribution remains uneven: While Dhaka North City Corporation has one ophthalmologist per 350,000 residents, Dhaka South City Corporation reports a critical deficit of 1:1.2 million people per specialist. Recent papers in the *Bangladesh Medical Journal* (2022) link this disparity to inadequate training pipelines—only three government medical colleges in Bangladesh train ophthalmologists, producing just 45 new specialists annually against Dhaka's demand for 300+ additional professionals by 2035. Crucially, no study has yet examined how Dhaka's unique infrastructure constraints (e.g., flood-prone zones, informal settlements) interact with</w:t>
      </w:r>
      <w:r>
        <w:t xml:space="preserve"> </w:t>
      </w:r>
      <w:r>
        <w:rPr>
          <w:bCs/>
          <w:b/>
        </w:rPr>
        <w:t xml:space="preserve">Ophthalmologist</w:t>
      </w:r>
      <w:r>
        <w:t xml:space="preserve"> </w:t>
      </w:r>
      <w:r>
        <w:t xml:space="preserve">service delivery. This Thesis Proposal fills that void through primary data collection in Dhaka's high-need districts.</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ophthalmologist deployment in Bangladesh Dhaka through three interconnected objectives:</w:t>
      </w:r>
    </w:p>
    <w:p>
      <w:pPr>
        <w:numPr>
          <w:ilvl w:val="0"/>
          <w:numId w:val="1001"/>
        </w:numPr>
        <w:pStyle w:val="Compact"/>
      </w:pPr>
      <w:r>
        <w:rPr>
          <w:bCs/>
          <w:b/>
        </w:rPr>
        <w:t xml:space="preserve">Assess current service gaps</w:t>
      </w:r>
      <w:r>
        <w:t xml:space="preserve">: Quantify disparities in ophthalmologist density across Dhaka's 10 administrative divisions and correlate with population vulnerability indices (e.g., poverty, disability prevalence).</w:t>
      </w:r>
    </w:p>
    <w:p>
      <w:pPr>
        <w:numPr>
          <w:ilvl w:val="0"/>
          <w:numId w:val="1001"/>
        </w:numPr>
        <w:pStyle w:val="Compact"/>
      </w:pPr>
      <w:r>
        <w:rPr>
          <w:bCs/>
          <w:b/>
        </w:rPr>
        <w:t xml:space="preserve">Identify systemic barriers</w:t>
      </w:r>
      <w:r>
        <w:t xml:space="preserve">: Analyze how transportation costs, cultural perceptions of eye care, and insurance coverage limitations impact service utilization among Dhaka's urban poor.</w:t>
      </w:r>
    </w:p>
    <w:p>
      <w:pPr>
        <w:numPr>
          <w:ilvl w:val="0"/>
          <w:numId w:val="1001"/>
        </w:numPr>
        <w:pStyle w:val="Compact"/>
      </w:pPr>
      <w:r>
        <w:rPr>
          <w:bCs/>
          <w:b/>
        </w:rPr>
        <w:t xml:space="preserve">Propose evidence-based solutions</w:t>
      </w:r>
      <w:r>
        <w:t xml:space="preserve">: Design a district-level deployment model integrating mobile clinics, tele-ophthalmology hubs, and training incentives for rural-to-urban ophthalmologists in Bangladesh Dhaka.</w:t>
      </w:r>
    </w:p>
    <w:bookmarkEnd w:id="23"/>
    <w:bookmarkStart w:id="24" w:name="v.-methodology"/>
    <w:p>
      <w:pPr>
        <w:pStyle w:val="Heading2"/>
      </w:pPr>
      <w:r>
        <w:t xml:space="preserve">V.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Census-level data collection from 40+ eye care facilities (government, NGO, private) in Dhaka using DHSS (Directorate General of Health Services) databases. Patient flow analytics will measure wait times and no-show rates across income brackets.</w:t>
      </w:r>
    </w:p>
    <w:p>
      <w:pPr>
        <w:numPr>
          <w:ilvl w:val="0"/>
          <w:numId w:val="1002"/>
        </w:numPr>
        <w:pStyle w:val="Compact"/>
      </w:pPr>
      <w:r>
        <w:rPr>
          <w:bCs/>
          <w:b/>
        </w:rPr>
        <w:t xml:space="preserve">Qualitative Phase</w:t>
      </w:r>
      <w:r>
        <w:t xml:space="preserve">: 30 in-depth interviews with ophthalmologists at Dhaka's major hospitals (e.g., Ibn Sina Hospital, Dhaka Eye Hospital), plus 150 focus group discussions with patients from slums (Kawran Bazar, Dhanmondi) to capture lived experiences.</w:t>
      </w:r>
    </w:p>
    <w:p>
      <w:pPr>
        <w:numPr>
          <w:ilvl w:val="0"/>
          <w:numId w:val="1002"/>
        </w:numPr>
        <w:pStyle w:val="Compact"/>
      </w:pPr>
      <w:r>
        <w:rPr>
          <w:bCs/>
          <w:b/>
        </w:rPr>
        <w:t xml:space="preserve">Geospatial Analysis</w:t>
      </w:r>
      <w:r>
        <w:t xml:space="preserve">: GIS mapping of ophthalmologist locations against population density and poverty hotspots using Dhaka City Corporation's spatial data. This will identify "blind spots" requiring urgent intervention.</w:t>
      </w:r>
    </w:p>
    <w:p>
      <w:pPr>
        <w:pStyle w:val="FirstParagraph"/>
      </w:pPr>
      <w:r>
        <w:t xml:space="preserve">Statistical analysis (SPSS v28) will correlate service gaps with socioeconomic variables, while thematic coding will extract policy insights from qualitative data. The study strictly adheres to Bangladesh Medical Research Council (BMRC) ethical guidelines and obtains consent from all participants in Bengali.</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Bangladesh Dhaka:</w:t>
      </w:r>
    </w:p>
    <w:p>
      <w:pPr>
        <w:numPr>
          <w:ilvl w:val="0"/>
          <w:numId w:val="1003"/>
        </w:numPr>
        <w:pStyle w:val="Compact"/>
      </w:pPr>
      <w:r>
        <w:t xml:space="preserve">A dynamic "Ophthalmologist Workforce Dashboard" showing real-time service coverage across Dhaka's 10 districts—enabling policymakers to target resource allocation.</w:t>
      </w:r>
    </w:p>
    <w:p>
      <w:pPr>
        <w:numPr>
          <w:ilvl w:val="0"/>
          <w:numId w:val="1003"/>
        </w:numPr>
        <w:pStyle w:val="Compact"/>
      </w:pPr>
      <w:r>
        <w:t xml:space="preserve">Policy briefs recommending integrated solutions: (a) A 3-year training subsidy program for rural ophthalmologists relocating to Dhaka, (b) Subsidized tele-consultation networks connecting community health workers with specialists, and (c) Infrastructure grants for eye care in flood-vulnerable wards.</w:t>
      </w:r>
    </w:p>
    <w:p>
      <w:pPr>
        <w:numPr>
          <w:ilvl w:val="0"/>
          <w:numId w:val="1003"/>
        </w:numPr>
        <w:pStyle w:val="Compact"/>
      </w:pPr>
      <w:r>
        <w:t xml:space="preserve">Validation of a cost-benefit model demonstrating that every $1 invested in expanding ophthalmologist services generates $4.20 in economic productivity (based on WHO disability-adjusted life year data).</w:t>
      </w:r>
    </w:p>
    <w:p>
      <w:pPr>
        <w:pStyle w:val="FirstParagraph"/>
      </w:pPr>
      <w:r>
        <w:t xml:space="preserve">The significance extends beyond Dhaka: Findings will inform the National Eye Health Program (NEHP 2030) and serve as a template for other South Asian megacities. Critically, this work directly addresses Bangladesh's commitment to Universal Health Coverage (UHC) by tackling eye care—a sector where 75% of blindness is preventable with timely intervention.</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Methdology approved; field protocols finalized with BMRC</w:t>
            </w:r>
          </w:p>
        </w:tc>
      </w:tr>
      <w:tr>
        <w:tc>
          <w:tcPr/>
          <w:p>
            <w:pPr>
              <w:pStyle w:val="Compact"/>
              <w:jc w:val="left"/>
            </w:pPr>
            <w:r>
              <w:t xml:space="preserve">Data Collection: Quantitative + Qualitative</w:t>
            </w:r>
          </w:p>
        </w:tc>
        <w:tc>
          <w:tcPr/>
          <w:p>
            <w:pPr>
              <w:pStyle w:val="Compact"/>
              <w:jc w:val="left"/>
            </w:pPr>
            <w:r>
              <w:t xml:space="preserve">4–9</w:t>
            </w:r>
          </w:p>
        </w:tc>
        <w:tc>
          <w:tcPr/>
          <w:p>
            <w:pPr>
              <w:pStyle w:val="Compact"/>
              <w:jc w:val="left"/>
            </w:pPr>
            <w:r>
              <w:t xml:space="preserve">Comprehensive dataset from 18 Dhaka districts; patient interviews transcribed</w:t>
            </w:r>
          </w:p>
        </w:tc>
      </w:tr>
      <w:tr>
        <w:tc>
          <w:tcPr/>
          <w:p>
            <w:pPr>
              <w:pStyle w:val="Compact"/>
              <w:jc w:val="left"/>
            </w:pPr>
            <w:r>
              <w:t xml:space="preserve">Data Analysis &amp; Modeling</w:t>
            </w:r>
          </w:p>
        </w:tc>
        <w:tc>
          <w:tcPr/>
          <w:p>
            <w:pPr>
              <w:pStyle w:val="Compact"/>
              <w:jc w:val="left"/>
            </w:pPr>
            <w:r>
              <w:t xml:space="preserve">10–12</w:t>
            </w:r>
          </w:p>
        </w:tc>
        <w:tc>
          <w:tcPr/>
          <w:p>
            <w:pPr>
              <w:pStyle w:val="Compact"/>
              <w:jc w:val="left"/>
            </w:pPr>
            <w:r>
              <w:t xml:space="preserve">Ophthalmologist coverage dashboard; policy recommendations drafted</w:t>
            </w:r>
          </w:p>
        </w:tc>
      </w:tr>
      <w:tr>
        <w:tc>
          <w:tcPr/>
          <w:p>
            <w:pPr>
              <w:pStyle w:val="Compact"/>
              <w:jc w:val="left"/>
            </w:pPr>
            <w:r>
              <w:t xml:space="preserve">Thesis Writing &amp; Stakeholder Validation</w:t>
            </w:r>
          </w:p>
        </w:tc>
        <w:tc>
          <w:tcPr/>
          <w:p>
            <w:pPr>
              <w:pStyle w:val="Compact"/>
              <w:jc w:val="left"/>
            </w:pPr>
            <w:r>
              <w:t xml:space="preserve">13–18</w:t>
            </w:r>
          </w:p>
        </w:tc>
        <w:tc>
          <w:tcPr/>
          <w:p>
            <w:pPr>
              <w:pStyle w:val="Compact"/>
              <w:jc w:val="left"/>
            </w:pPr>
            <w:r>
              <w:t xml:space="preserve">Paper submitted to *Bangladesh Journal of Ophthalmology*; government presentation in Dhaka</w:t>
            </w:r>
          </w:p>
        </w:tc>
      </w:tr>
    </w:tbl>
    <w:bookmarkEnd w:id="26"/>
    <w:bookmarkStart w:id="27" w:name="viii.-conclusion"/>
    <w:p>
      <w:pPr>
        <w:pStyle w:val="Heading2"/>
      </w:pPr>
      <w:r>
        <w:t xml:space="preserve">VIII. Conclusion</w:t>
      </w:r>
    </w:p>
    <w:p>
      <w:pPr>
        <w:pStyle w:val="FirstParagraph"/>
      </w:pPr>
      <w:r>
        <w:t xml:space="preserve">The escalating crisis in ophthalmic care delivery across Bangladesh Dhaka demands immediate, data-driven action. This Thesis Proposal pioneers a localized strategy to bridge the</w:t>
      </w:r>
      <w:r>
        <w:t xml:space="preserve"> </w:t>
      </w:r>
      <w:r>
        <w:rPr>
          <w:bCs/>
          <w:b/>
        </w:rPr>
        <w:t xml:space="preserve">Ophthalmologist</w:t>
      </w:r>
      <w:r>
        <w:t xml:space="preserve"> </w:t>
      </w:r>
      <w:r>
        <w:t xml:space="preserve">deficit through actionable insights grounded in Dhaka's unique urban challenges—from traffic congestion to poverty stratification. By centering the voices of both underserved patients and frontline eye care providers, this research moves beyond theoretical analysis to deliver implementable solutions for Bangladesh's health ecosystem. Ultimately, this work will position Dhaka as a regional model for equitable eye care access in resource-constrained megacities—a critical step toward achieving Sustainable Development Goal 3 (Good Health) in Bangladesh and beyond.</w:t>
      </w:r>
    </w:p>
    <w:bookmarkEnd w:id="27"/>
    <w:bookmarkStart w:id="28" w:name="references"/>
    <w:p>
      <w:pPr>
        <w:pStyle w:val="Heading2"/>
      </w:pPr>
      <w:r>
        <w:t xml:space="preserve">References</w:t>
      </w:r>
    </w:p>
    <w:p>
      <w:pPr>
        <w:pStyle w:val="FirstParagraph"/>
      </w:pPr>
      <w:r>
        <w:t xml:space="preserve">Bangladesh Health Survey (2023). Ministry of Health. Dhaka: Government Press.</w:t>
      </w:r>
      <w:r>
        <w:br/>
      </w:r>
      <w:r>
        <w:t xml:space="preserve">World Health Organization. (2021). *Blindness and Visual Impairment in South Asia*. Geneva: WHO.</w:t>
      </w:r>
      <w:r>
        <w:br/>
      </w:r>
      <w:r>
        <w:t xml:space="preserve">Rahman, M.M., et al. (2022). "Urban Eye Care Disparities in Dhaka City."</w:t>
      </w:r>
      <w:r>
        <w:t xml:space="preserve"> </w:t>
      </w:r>
      <w:r>
        <w:rPr>
          <w:iCs/>
          <w:i/>
        </w:rPr>
        <w:t xml:space="preserve">Bangladesh Medical Journal</w:t>
      </w:r>
      <w:r>
        <w:t xml:space="preserve">, 45(3), 112–125.</w:t>
      </w:r>
      <w:r>
        <w:br/>
      </w:r>
      <w:r>
        <w:t xml:space="preserve">International Centre for Eye Health (ICEH). (2023). *Ophthalmologist Workforce Benchmarking: Bangladesh Report*. London: LSE.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Bangladesh Dhaka</dc:title>
  <dc:creator/>
  <dc:language>en</dc:language>
  <cp:keywords/>
  <dcterms:created xsi:type="dcterms:W3CDTF">2025-12-12T02:47:12Z</dcterms:created>
  <dcterms:modified xsi:type="dcterms:W3CDTF">2025-12-12T02:47:12Z</dcterms:modified>
</cp:coreProperties>
</file>

<file path=docProps/custom.xml><?xml version="1.0" encoding="utf-8"?>
<Properties xmlns="http://schemas.openxmlformats.org/officeDocument/2006/custom-properties" xmlns:vt="http://schemas.openxmlformats.org/officeDocument/2006/docPropsVTypes"/>
</file>