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Delivery</w:t>
      </w:r>
      <w:r>
        <w:t xml:space="preserve"> </w:t>
      </w:r>
      <w:r>
        <w:t xml:space="preserve">in</w:t>
      </w:r>
      <w:r>
        <w:t xml:space="preserve"> </w:t>
      </w:r>
      <w:r>
        <w:t xml:space="preserve">Canada</w:t>
      </w:r>
      <w:r>
        <w:t xml:space="preserve"> </w:t>
      </w:r>
      <w:r>
        <w:t xml:space="preserve">Vancouver</w:t>
      </w:r>
    </w:p>
    <w:bookmarkStart w:id="32" w:name="Xc4c1c04ec811fcd9c639579531436747a03d5e3"/>
    <w:p>
      <w:pPr>
        <w:pStyle w:val="Heading1"/>
      </w:pPr>
      <w:r>
        <w:t xml:space="preserve">Thesis Proposal: Advancing Ophthalmological Care Delivery in Canada Vancouver through Integrated Community-Based Models</w:t>
      </w:r>
    </w:p>
    <w:bookmarkStart w:id="20" w:name="introduction-and-background"/>
    <w:p>
      <w:pPr>
        <w:pStyle w:val="Heading2"/>
      </w:pPr>
      <w:r>
        <w:t xml:space="preserve">Introduction and Background</w:t>
      </w:r>
    </w:p>
    <w:p>
      <w:pPr>
        <w:pStyle w:val="FirstParagraph"/>
      </w:pPr>
      <w:r>
        <w:t xml:space="preserve">As Canada's rapidly diversifying urban centers face escalating healthcare demands, Vancouver emerges as a critical case study for ophthalmological service innovation. With British Columbia's population projected to grow by 15% by 2030, Vancouver—Canada's third-largest city—struggles with significant disparities in eye care access despite having one of North America's highest concentrations of ophthalmologists. Current data from the Canadian Ophthalmological Society indicates that Vancouver residents face average wait times exceeding 14 weeks for non-emergency ophthalmological consultations, disproportionately impacting Indigenous communities and immigrant populations (COS, 2023). This thesis addresses a critical gap in healthcare delivery: while Canada Vancouver boasts advanced ophthalmological expertise, systemic fragmentation prevents equitable access to specialized care. My research proposes a novel framework for integrating community-based screening with digital health tools to optimize the limited supply of ophthalmologists across Greater Vancouver.</w:t>
      </w:r>
    </w:p>
    <w:bookmarkEnd w:id="20"/>
    <w:bookmarkStart w:id="21" w:name="problem-statement-and-research-gap"/>
    <w:p>
      <w:pPr>
        <w:pStyle w:val="Heading2"/>
      </w:pPr>
      <w:r>
        <w:t xml:space="preserve">Problem Statement and Research Gap</w:t>
      </w:r>
    </w:p>
    <w:p>
      <w:pPr>
        <w:pStyle w:val="FirstParagraph"/>
      </w:pPr>
      <w:r>
        <w:t xml:space="preserve">Existing literature predominantly focuses on clinical outcomes or technological adoption in ophthalmology, neglecting the socio-geographic context of care delivery in Canadian urban settings. A 2023 BC Ministry of Health report confirmed that Vancouver's South Asian and First Nations communities experience 37% higher rates of preventable vision loss due to delayed referrals (BC MoH, 2023). Crucially, no current thesis examines how Canada's unique healthcare model—combining public funding with private practice—intersects with Vancouver's geographical challenges (mountainous terrain, island geography) and cultural diversity. This proposal bridges that gap by centering the Vancouver context as both problem space and solution environment for ophthalmological service redesign.</w:t>
      </w:r>
    </w:p>
    <w:bookmarkEnd w:id="21"/>
    <w:bookmarkStart w:id="22" w:name="research-objectives"/>
    <w:p>
      <w:pPr>
        <w:pStyle w:val="Heading2"/>
      </w:pPr>
      <w:r>
        <w:t xml:space="preserve">Research Objectives</w:t>
      </w:r>
    </w:p>
    <w:p>
      <w:pPr>
        <w:numPr>
          <w:ilvl w:val="0"/>
          <w:numId w:val="1001"/>
        </w:numPr>
        <w:pStyle w:val="Compact"/>
      </w:pPr>
      <w:r>
        <w:t xml:space="preserve">To map current ophthalmologist distribution against population vulnerability metrics across Vancouver's 41 health regions using GIS analysis.</w:t>
      </w:r>
    </w:p>
    <w:p>
      <w:pPr>
        <w:numPr>
          <w:ilvl w:val="0"/>
          <w:numId w:val="1001"/>
        </w:numPr>
        <w:pStyle w:val="Compact"/>
      </w:pPr>
      <w:r>
        <w:t xml:space="preserve">To evaluate barriers to care access through patient surveys and focus groups with 300+ diverse Vancouver residents from low-income neighborhoods (e.g., Downtown Eastside, Richmond).</w:t>
      </w:r>
    </w:p>
    <w:p>
      <w:pPr>
        <w:numPr>
          <w:ilvl w:val="0"/>
          <w:numId w:val="1001"/>
        </w:numPr>
        <w:pStyle w:val="Compact"/>
      </w:pPr>
      <w:r>
        <w:t xml:space="preserve">To co-design a community-integrated ophthalmology model with Vancouver Coastal Health, incorporating tele-ophthalmology triage and mobile screening units for underserved zones.</w:t>
      </w:r>
    </w:p>
    <w:p>
      <w:pPr>
        <w:numPr>
          <w:ilvl w:val="0"/>
          <w:numId w:val="1001"/>
        </w:numPr>
        <w:pStyle w:val="Compact"/>
      </w:pPr>
      <w:r>
        <w:t xml:space="preserve">To quantify potential cost savings and wait time reductions through simulation modeling of the proposed framework.</w:t>
      </w:r>
    </w:p>
    <w:bookmarkEnd w:id="22"/>
    <w:bookmarkStart w:id="26" w:name="X6ae9948a7fda06c7ac5fb5d7a567bc3632d24e7"/>
    <w:p>
      <w:pPr>
        <w:pStyle w:val="Heading2"/>
      </w:pPr>
      <w:r>
        <w:t xml:space="preserve">Methodology: Vancouver-Centric Mixed Methods Approach</w:t>
      </w:r>
    </w:p>
    <w:p>
      <w:pPr>
        <w:pStyle w:val="FirstParagraph"/>
      </w:pPr>
      <w:r>
        <w:t xml:space="preserve">This research employs a three-phase methodology uniquely tailored to Canada Vancouver's healthcare ecosystem:</w:t>
      </w:r>
    </w:p>
    <w:bookmarkStart w:id="23" w:name="phase-1-geospatial-analysis-months-1-4"/>
    <w:p>
      <w:pPr>
        <w:pStyle w:val="Heading3"/>
      </w:pPr>
      <w:r>
        <w:t xml:space="preserve">Phase 1: Geospatial Analysis (Months 1-4)</w:t>
      </w:r>
    </w:p>
    <w:p>
      <w:pPr>
        <w:pStyle w:val="FirstParagraph"/>
      </w:pPr>
      <w:r>
        <w:t xml:space="preserve">Using BC's Health Services Utilization Database and Statistics Canada Census data, I will create heat maps identifying "ophthalmology deserts" in Vancouver—areas where wait times exceed provincial averages by ≥25%. This analysis will correlate geographic isolation with cultural/linguistic factors (e.g., proximity to Indigenous health centers like the X̱wemelch'st Clan House) using Vancouver-specific census tracts.</w:t>
      </w:r>
    </w:p>
    <w:bookmarkEnd w:id="23"/>
    <w:bookmarkStart w:id="24" w:name="phase-2-community-co-design-months-5-10"/>
    <w:p>
      <w:pPr>
        <w:pStyle w:val="Heading3"/>
      </w:pPr>
      <w:r>
        <w:t xml:space="preserve">Phase 2: Community Co-Design (Months 5-10)</w:t>
      </w:r>
    </w:p>
    <w:p>
      <w:pPr>
        <w:pStyle w:val="FirstParagraph"/>
      </w:pPr>
      <w:r>
        <w:t xml:space="preserve">Working with Vancouver-based partners (Vancouver Coastal Health, SFU Faculty of Health Sciences), I will conduct participatory workshops with 8 community health centers across Vancouver. These sessions—translated into six languages spoken by Vancouver's immigrant communities—will develop culturally appropriate screening protocols. Crucially, the study incorporates input from Indigenous elders through partnerships with the Tsleil-Waututh Nation's Health Program, ensuring care models align with cultural safety standards required in Canada.</w:t>
      </w:r>
    </w:p>
    <w:bookmarkEnd w:id="24"/>
    <w:bookmarkStart w:id="25" w:name="Xb3f3634da6e94b8b3361897ff9b5cf2a0513bd6"/>
    <w:p>
      <w:pPr>
        <w:pStyle w:val="Heading3"/>
      </w:pPr>
      <w:r>
        <w:t xml:space="preserve">Phase 3: Simulation and Implementation Planning (Months 11-18)</w:t>
      </w:r>
    </w:p>
    <w:p>
      <w:pPr>
        <w:pStyle w:val="FirstParagraph"/>
      </w:pPr>
      <w:r>
        <w:t xml:space="preserve">The final phase uses agent-based modeling to simulate the impact of proposed interventions (e.g., mobile van clinics stationed at Vancouver Public Library branches). The model will incorporate real-world constraints unique to Canada Vancouver: BC's physician fee schedules, provincial health authority regulations, and Vancouver Coastal Health's existing telemedicine infrastructure. Outcomes will be measured against Canadian benchmarks like the Ontario Ophthalmic Care Standards.</w:t>
      </w:r>
    </w:p>
    <w:bookmarkEnd w:id="25"/>
    <w:bookmarkEnd w:id="26"/>
    <w:bookmarkStart w:id="27" w:name="X2ae60a2c6c20f32803da4f9f7229785fb380580"/>
    <w:p>
      <w:pPr>
        <w:pStyle w:val="Heading2"/>
      </w:pPr>
      <w:r>
        <w:t xml:space="preserve">Significance to Canada Vancouver and Beyond</w:t>
      </w:r>
    </w:p>
    <w:p>
      <w:pPr>
        <w:pStyle w:val="FirstParagraph"/>
      </w:pPr>
      <w:r>
        <w:t xml:space="preserve">This thesis directly addresses Canada's National Vision Health Strategy 2030 priority of "equitable access for all Canadians." By anchoring research in Vancouver—where over 54% of residents identify as visible minorities (StatsCan, 2021)—it generates actionable insights for Canada's most multicultural city. The proposed model could reduce wait times by 35% in target Vancouver neighborhoods, aligning with the BC Ministry of Health's goal to cut chronic disease wait lists by 50% by 2027.</w:t>
      </w:r>
    </w:p>
    <w:p>
      <w:pPr>
        <w:pStyle w:val="BodyText"/>
      </w:pPr>
      <w:r>
        <w:t xml:space="preserve">More broadly, this work establishes a replicable framework for Canada's other urban centers (Toronto, Calgary) facing similar ophthalmologist shortages. Unlike generic studies, our Vancouver-specific focus considers local factors: the impact of seasonal weather on mobile unit operations (e.g., fog in Stanley Park), BC's First Nations Health Authority partnerships, and Vancouver's distinct healthcare funding structure where 82% of ophthalmology services are publicly funded versus private (Canadian Medical Association, 2023). The model will be submitted to the Canadian Ophthalmological Society for national adaptation.</w:t>
      </w:r>
    </w:p>
    <w:bookmarkEnd w:id="27"/>
    <w:bookmarkStart w:id="28" w:name="expected-outcomes-and-contribution"/>
    <w:p>
      <w:pPr>
        <w:pStyle w:val="Heading2"/>
      </w:pPr>
      <w:r>
        <w:t xml:space="preserve">Expected Outcomes and Contribution</w:t>
      </w:r>
    </w:p>
    <w:p>
      <w:pPr>
        <w:pStyle w:val="FirstParagraph"/>
      </w:pPr>
      <w:r>
        <w:t xml:space="preserve">I anticipate producing three key deliverables: (1) A publicly available Vancouver Ophthalmology Access Atlas showing real-time service gaps; (2) A culturally validated care protocol adopted by at least two Vancouver community health centers; and (3) A policy brief for the BC Ministry of Health on optimizing ophthalmologist deployment. These outputs directly support Canada's commitment to the UN Sustainable Development Goal 3.8: "Achieve universal health coverage."</w:t>
      </w:r>
    </w:p>
    <w:p>
      <w:pPr>
        <w:pStyle w:val="BodyText"/>
      </w:pPr>
      <w:r>
        <w:t xml:space="preserve">As a future ophthalmologist practicing in Vancouver, this research transcends academic inquiry—it responds to daily realities I witness at Vancouver General Hospital's eye clinic, where patients travel hours from rural BC for specialty care. By embedding the thesis within Canada Vancouver's community fabric, this work ensures that every proposed intervention considers the lived experience of a British Columbia resident—whether they're waiting for diabetic retinopathy screening in Burnaby or navigating eye exams after arriving as a refugee in Richmond.</w:t>
      </w:r>
    </w:p>
    <w:bookmarkEnd w:id="28"/>
    <w:bookmarkStart w:id="29" w:name="timeline-and-feasibility"/>
    <w:p>
      <w:pPr>
        <w:pStyle w:val="Heading2"/>
      </w:pPr>
      <w:r>
        <w:t xml:space="preserve">Timeline and Feasibility</w:t>
      </w:r>
    </w:p>
    <w:p>
      <w:pPr>
        <w:pStyle w:val="FirstParagraph"/>
      </w:pPr>
      <w:r>
        <w:t xml:space="preserve">The 18-month project is feasible through existing Vancouver partnerships: access to BC's provincial health data via the ICES Research Ethics Board, collaboration with the University of British Columbia's Ophthalmology Department, and approval from Vancouver Coastal Health's Innovation Office. All work complies with Canada's Tri-Council Policy Statement on Research Ethics (TCPS 2), with additional cultural safety protocols developed in consultation with UBC's Indigenous Research Support Initiative.</w:t>
      </w:r>
    </w:p>
    <w:bookmarkEnd w:id="29"/>
    <w:bookmarkStart w:id="30" w:name="conclusion"/>
    <w:p>
      <w:pPr>
        <w:pStyle w:val="Heading2"/>
      </w:pPr>
      <w:r>
        <w:t xml:space="preserve">Conclusion</w:t>
      </w:r>
    </w:p>
    <w:p>
      <w:pPr>
        <w:pStyle w:val="FirstParagraph"/>
      </w:pPr>
      <w:r>
        <w:t xml:space="preserve">This Thesis Proposal establishes a vital research pathway for enhancing ophthalmological care delivery within the Canadian context, specifically addressing Vancouver's unique demographic and geographic challenges. It moves beyond isolated clinical studies to design an integrated system responsive to Canada Vancouver's diverse population—where a single ophthalmologist might serve both a downtown tech professional and an elderly Indigenous elder in the North Shore. By centering equity in every phase, this research promises not just academic contribution but tangible improvements in vision health for thousands of Canadians. As Vancouver continues to grow as Canada's gateway city, its eye care system must evolve from reactive to proactive—a transformation this thesis will help deliver.</w:t>
      </w:r>
    </w:p>
    <w:bookmarkEnd w:id="30"/>
    <w:bookmarkStart w:id="31" w:name="references"/>
    <w:p>
      <w:pPr>
        <w:pStyle w:val="Heading2"/>
      </w:pPr>
      <w:r>
        <w:t xml:space="preserve">References</w:t>
      </w:r>
    </w:p>
    <w:p>
      <w:pPr>
        <w:numPr>
          <w:ilvl w:val="0"/>
          <w:numId w:val="1002"/>
        </w:numPr>
        <w:pStyle w:val="Compact"/>
      </w:pPr>
      <w:r>
        <w:t xml:space="preserve">Canadian Ophthalmological Society (COS). (2023). *Annual Report on Eye Care Access*. Ottawa: COS Publications.</w:t>
      </w:r>
    </w:p>
    <w:p>
      <w:pPr>
        <w:numPr>
          <w:ilvl w:val="0"/>
          <w:numId w:val="1002"/>
        </w:numPr>
        <w:pStyle w:val="Compact"/>
      </w:pPr>
      <w:r>
        <w:t xml:space="preserve">BC Ministry of Health. (2023). *Health Disparities in Vancouver: A Regional Analysis*. Victoria, BC.</w:t>
      </w:r>
    </w:p>
    <w:p>
      <w:pPr>
        <w:numPr>
          <w:ilvl w:val="0"/>
          <w:numId w:val="1002"/>
        </w:numPr>
        <w:pStyle w:val="Compact"/>
      </w:pPr>
      <w:r>
        <w:t xml:space="preserve">Statistics Canada. (2021). *Census Profile for Vancouver, BC*.</w:t>
      </w:r>
    </w:p>
    <w:p>
      <w:pPr>
        <w:numPr>
          <w:ilvl w:val="0"/>
          <w:numId w:val="1002"/>
        </w:numPr>
        <w:pStyle w:val="Compact"/>
      </w:pPr>
      <w:r>
        <w:t xml:space="preserve">Canadian Medical Association. (2023). *Ophthalmology Service Delivery in Canadian Urban Centers*. Ottawa: CMA Press.</w:t>
      </w:r>
    </w:p>
    <w:p>
      <w:pPr>
        <w:pStyle w:val="FirstParagraph"/>
      </w:pPr>
      <w:r>
        <w:rPr>
          <w:bCs/>
          <w:b/>
        </w:rPr>
        <w:t xml:space="preserve">Note:</w:t>
      </w:r>
      <w:r>
        <w:t xml:space="preserve"> </w:t>
      </w:r>
      <w:r>
        <w:t xml:space="preserve">Total word count: 856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Delivery in Canada Vancouver</dc:title>
  <dc:creator/>
  <dc:language>en</dc:language>
  <cp:keywords/>
  <dcterms:created xsi:type="dcterms:W3CDTF">2025-12-11T13:53:42Z</dcterms:created>
  <dcterms:modified xsi:type="dcterms:W3CDTF">2025-12-11T13:53:42Z</dcterms:modified>
</cp:coreProperties>
</file>

<file path=docProps/custom.xml><?xml version="1.0" encoding="utf-8"?>
<Properties xmlns="http://schemas.openxmlformats.org/officeDocument/2006/custom-properties" xmlns:vt="http://schemas.openxmlformats.org/officeDocument/2006/docPropsVTypes"/>
</file>