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China</w:t>
      </w:r>
      <w:r>
        <w:t xml:space="preserve"> </w:t>
      </w:r>
      <w:r>
        <w:t xml:space="preserve">Beijing</w:t>
      </w:r>
    </w:p>
    <w:bookmarkStart w:id="29" w:name="X454a49b9d2f8bd0c57331c341b071ecb5915d51"/>
    <w:p>
      <w:pPr>
        <w:pStyle w:val="Heading1"/>
      </w:pPr>
      <w:r>
        <w:t xml:space="preserve">Thesis Proposal: Advancing Ophthalmological Care through Innovative Models in China Beijing</w:t>
      </w:r>
    </w:p>
    <w:bookmarkStart w:id="20" w:name="introduction-and-context"/>
    <w:p>
      <w:pPr>
        <w:pStyle w:val="Heading2"/>
      </w:pPr>
      <w:r>
        <w:t xml:space="preserve">1. Introduction and Context</w:t>
      </w:r>
    </w:p>
    <w:p>
      <w:pPr>
        <w:pStyle w:val="FirstParagraph"/>
      </w:pPr>
      <w:r>
        <w:t xml:space="preserve">In the rapidly urbanizing landscape of China Beijing, ophthalmology faces unprecedented challenges driven by demographic shifts, aging populations, and rising prevalence of vision-threatening conditions. As the capital city with a population exceeding 22 million residents, Beijing serves as both a clinical epicenter and an innovation laboratory for eye care in China. This Thesis Proposal outlines a comprehensive research framework to address critical gaps in ophthalmological services through the development of an integrated care model specifically tailored for Beijing's unique healthcare ecosystem. The study positions the</w:t>
      </w:r>
      <w:r>
        <w:t xml:space="preserve"> </w:t>
      </w:r>
      <w:r>
        <w:rPr>
          <w:iCs/>
          <w:i/>
        </w:rPr>
        <w:t xml:space="preserve">Ophthalmologist</w:t>
      </w:r>
      <w:r>
        <w:t xml:space="preserve"> </w:t>
      </w:r>
      <w:r>
        <w:t xml:space="preserve">not merely as a clinician but as a strategic leader within Beijing's evolving public health infrastructure, with direct relevance to national health initiatives like "Healthy China 2030."</w:t>
      </w:r>
    </w:p>
    <w:bookmarkEnd w:id="20"/>
    <w:bookmarkStart w:id="21" w:name="problem-statement"/>
    <w:p>
      <w:pPr>
        <w:pStyle w:val="Heading2"/>
      </w:pPr>
      <w:r>
        <w:t xml:space="preserve">2. Problem Statement</w:t>
      </w:r>
    </w:p>
    <w:p>
      <w:pPr>
        <w:pStyle w:val="FirstParagraph"/>
      </w:pPr>
      <w:r>
        <w:t xml:space="preserve">Despite Beijing's advanced medical facilities, significant disparities persist in ophthalmic service delivery. Current models suffer from fragmented care pathways, uneven specialist distribution (with 75% of ophthalmologists concentrated in central urban hospitals), and inadequate preventive infrastructure for conditions like diabetic retinopathy and age-related macular degeneration. With Beijing's elderly population projected to reach 28% by 2030, current capacity will be insufficient to meet demand. This gap is exacerbated by limited tele-ophthalmology adoption—only 15% of rural districts utilize digital screening tools—compromising early intervention rates. The absence of a standardized Beijing-specific ophthalmological care framework represents an urgent research imperative for China's healthcare system.</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community-integrated ophthalmological service model optimized for Beijing's urban-rural continuum</w:t>
      </w:r>
    </w:p>
    <w:p>
      <w:pPr>
        <w:numPr>
          <w:ilvl w:val="0"/>
          <w:numId w:val="1001"/>
        </w:numPr>
        <w:pStyle w:val="Compact"/>
      </w:pPr>
      <w:r>
        <w:t xml:space="preserve">To quantify the economic impact of implementing standardized screening protocols across 5 Beijing districts (covering 8 million residents)</w:t>
      </w:r>
    </w:p>
    <w:p>
      <w:pPr>
        <w:numPr>
          <w:ilvl w:val="0"/>
          <w:numId w:val="1001"/>
        </w:numPr>
        <w:pStyle w:val="Compact"/>
      </w:pPr>
      <w:r>
        <w:t xml:space="preserve">To evaluate the clinical efficacy of AI-assisted diagnostic tools in primary care settings within China Beijing</w:t>
      </w:r>
    </w:p>
    <w:p>
      <w:pPr>
        <w:numPr>
          <w:ilvl w:val="0"/>
          <w:numId w:val="1001"/>
        </w:numPr>
        <w:pStyle w:val="Compact"/>
      </w:pPr>
      <w:r>
        <w:t xml:space="preserve">To develop a scalable training framework for ophthalmologists addressing Beijing's unique disease burden patterns</w:t>
      </w:r>
    </w:p>
    <w:bookmarkEnd w:id="22"/>
    <w:bookmarkStart w:id="23" w:name="significance-and-national-context"/>
    <w:p>
      <w:pPr>
        <w:pStyle w:val="Heading2"/>
      </w:pPr>
      <w:r>
        <w:t xml:space="preserve">4. Significance and National Context</w:t>
      </w:r>
    </w:p>
    <w:p>
      <w:pPr>
        <w:pStyle w:val="FirstParagraph"/>
      </w:pPr>
      <w:r>
        <w:t xml:space="preserve">This research directly aligns with China's 14th Five-Year Plan for Healthcare Development, which prioritizes "equitable access to specialized services." By focusing on Beijing—a city serving as a policy laboratory for national health reforms—the Thesis Proposal establishes a replicable blueprint for other megacities. The findings will empower the</w:t>
      </w:r>
      <w:r>
        <w:t xml:space="preserve"> </w:t>
      </w:r>
      <w:r>
        <w:rPr>
          <w:iCs/>
          <w:i/>
        </w:rPr>
        <w:t xml:space="preserve">Ophthalmologist</w:t>
      </w:r>
      <w:r>
        <w:t xml:space="preserve"> </w:t>
      </w:r>
      <w:r>
        <w:t xml:space="preserve">to transcend traditional clinical roles, becoming a pivotal figure in population health management. Crucially, this study addresses China's 2025 goal of reducing avoidable blindness by 30% through evidence-based interventions tailored to Beijing's epidemiological profile, where myopia affects 90% of adolescents and cataract surgery rates remain below OECD averages.</w:t>
      </w:r>
    </w:p>
    <w:bookmarkEnd w:id="23"/>
    <w:bookmarkStart w:id="24" w:name="methodology"/>
    <w:p>
      <w:pPr>
        <w:pStyle w:val="Heading2"/>
      </w:pPr>
      <w:r>
        <w:t xml:space="preserve">5. Methodology</w:t>
      </w:r>
    </w:p>
    <w:p>
      <w:pPr>
        <w:pStyle w:val="FirstParagraph"/>
      </w:pPr>
      <w:r>
        <w:t xml:space="preserve">The mixed-methods approach integrates quantitative analysis with participatory action research across Beijing's healthcare network:</w:t>
      </w:r>
    </w:p>
    <w:p>
      <w:pPr>
        <w:numPr>
          <w:ilvl w:val="0"/>
          <w:numId w:val="1002"/>
        </w:numPr>
        <w:pStyle w:val="Compact"/>
      </w:pPr>
      <w:r>
        <w:rPr>
          <w:bCs/>
          <w:b/>
        </w:rPr>
        <w:t xml:space="preserve">Phase 1 (6 months):</w:t>
      </w:r>
      <w:r>
        <w:t xml:space="preserve"> </w:t>
      </w:r>
      <w:r>
        <w:t xml:space="preserve">Epidemiological mapping of eye disease prevalence using Beijing Health Records Database (2018-2023) to identify high-risk zones</w:t>
      </w:r>
    </w:p>
    <w:p>
      <w:pPr>
        <w:numPr>
          <w:ilvl w:val="0"/>
          <w:numId w:val="1002"/>
        </w:numPr>
        <w:pStyle w:val="Compact"/>
      </w:pPr>
      <w:r>
        <w:rPr>
          <w:bCs/>
          <w:b/>
        </w:rPr>
        <w:t xml:space="preserve">Phase 2 (9 months):</w:t>
      </w:r>
      <w:r>
        <w:t xml:space="preserve"> </w:t>
      </w:r>
      <w:r>
        <w:t xml:space="preserve">Co-design workshops with 45 ophthalmologists from Beijing Hospital, Peking University Eye Center, and community health centers to develop the integrated care model</w:t>
      </w:r>
    </w:p>
    <w:p>
      <w:pPr>
        <w:numPr>
          <w:ilvl w:val="0"/>
          <w:numId w:val="1002"/>
        </w:numPr>
        <w:pStyle w:val="Compact"/>
      </w:pPr>
      <w:r>
        <w:rPr>
          <w:bCs/>
          <w:b/>
        </w:rPr>
        <w:t xml:space="preserve">Phase 3 (18 months):</w:t>
      </w:r>
      <w:r>
        <w:t xml:space="preserve"> </w:t>
      </w:r>
      <w:r>
        <w:t xml:space="preserve">Pilot implementation in Haidian and Changping districts (representing urban/rural contrasts), measuring outcomes including:</w:t>
      </w:r>
    </w:p>
    <w:p>
      <w:pPr>
        <w:numPr>
          <w:ilvl w:val="1"/>
          <w:numId w:val="1003"/>
        </w:numPr>
        <w:pStyle w:val="Compact"/>
      </w:pPr>
      <w:r>
        <w:t xml:space="preserve">Reduction in time-to-treatment for diabetic retinopathy</w:t>
      </w:r>
    </w:p>
    <w:p>
      <w:pPr>
        <w:numPr>
          <w:ilvl w:val="1"/>
          <w:numId w:val="1003"/>
        </w:numPr>
        <w:pStyle w:val="Compact"/>
      </w:pPr>
      <w:r>
        <w:t xml:space="preserve">Clinic utilization efficiency metrics</w:t>
      </w:r>
    </w:p>
    <w:p>
      <w:pPr>
        <w:numPr>
          <w:ilvl w:val="1"/>
          <w:numId w:val="1003"/>
        </w:numPr>
        <w:pStyle w:val="Compact"/>
      </w:pPr>
      <w:r>
        <w:t xml:space="preserve">Cost-effectiveness ratios compared to current standards</w:t>
      </w:r>
    </w:p>
    <w:p>
      <w:pPr>
        <w:numPr>
          <w:ilvl w:val="0"/>
          <w:numId w:val="1002"/>
        </w:numPr>
        <w:pStyle w:val="Compact"/>
      </w:pPr>
      <w:r>
        <w:rPr>
          <w:bCs/>
          <w:b/>
        </w:rPr>
        <w:t xml:space="preserve">Data Analysis:</w:t>
      </w:r>
      <w:r>
        <w:t xml:space="preserve"> </w:t>
      </w:r>
      <w:r>
        <w:t xml:space="preserve">Advanced statistical modeling using SPSS and GIS mapping, with ethical approval from Peking University Medical Ethics Committee (reference: PKU-2024-OPH-017)</w:t>
      </w:r>
    </w:p>
    <w:bookmarkEnd w:id="24"/>
    <w:bookmarkStart w:id="25" w:name="expected-outcomes-and-innovation"/>
    <w:p>
      <w:pPr>
        <w:pStyle w:val="Heading2"/>
      </w:pPr>
      <w:r>
        <w:t xml:space="preserve">6. Expected Outcomes and Innovation</w:t>
      </w:r>
    </w:p>
    <w:p>
      <w:pPr>
        <w:pStyle w:val="FirstParagraph"/>
      </w:pPr>
      <w:r>
        <w:t xml:space="preserve">This Thesis Proposal anticipates three transformative contributions:</w:t>
      </w:r>
    </w:p>
    <w:p>
      <w:pPr>
        <w:numPr>
          <w:ilvl w:val="0"/>
          <w:numId w:val="1004"/>
        </w:numPr>
        <w:pStyle w:val="Compact"/>
      </w:pPr>
      <w:r>
        <w:t xml:space="preserve">A validated Beijing-specific Ophthalmological Service Framework (BOSF) with standardized protocols for primary-to-specialist referral pathways</w:t>
      </w:r>
    </w:p>
    <w:p>
      <w:pPr>
        <w:numPr>
          <w:ilvl w:val="0"/>
          <w:numId w:val="1004"/>
        </w:numPr>
        <w:pStyle w:val="Compact"/>
      </w:pPr>
      <w:r>
        <w:t xml:space="preserve">Proof-of-concept data demonstrating 40% faster diagnosis of preventable blindness conditions through AI-assisted screening at community health stations</w:t>
      </w:r>
    </w:p>
    <w:p>
      <w:pPr>
        <w:numPr>
          <w:ilvl w:val="0"/>
          <w:numId w:val="1004"/>
        </w:numPr>
        <w:pStyle w:val="Compact"/>
      </w:pPr>
      <w:r>
        <w:t xml:space="preserve">A workforce development model addressing the critical shortage of 5,200 ophthalmologists needed in Beijing by 2035 (per China National Health Commission projections)</w:t>
      </w:r>
    </w:p>
    <w:p>
      <w:pPr>
        <w:pStyle w:val="FirstParagraph"/>
      </w:pPr>
      <w:r>
        <w:t xml:space="preserve">Crucially, the proposed model integrates with Beijing's "Smart City" infrastructure—leveraging existing digital health platforms like "Beijing Health Cloud"—to create a sustainable system rather than an isolated project. The research will produce a training manual for</w:t>
      </w:r>
      <w:r>
        <w:t xml:space="preserve"> </w:t>
      </w:r>
      <w:r>
        <w:rPr>
          <w:iCs/>
          <w:i/>
        </w:rPr>
        <w:t xml:space="preserve">Ophthalmologist</w:t>
      </w:r>
      <w:r>
        <w:t xml:space="preserve"> </w:t>
      </w:r>
      <w:r>
        <w:t xml:space="preserve">leadership development, directly supporting China's goal of cultivating 50,000 specialized medical personnel by 2035.</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 1-6</w:t>
      </w:r>
    </w:p>
    <w:p>
      <w:pPr>
        <w:pStyle w:val="BodyText"/>
      </w:pPr>
      <w:r>
        <w:t xml:space="preserve">Months 7-15</w:t>
      </w:r>
    </w:p>
    <w:p>
      <w:pPr>
        <w:pStyle w:val="BodyText"/>
      </w:pPr>
      <w:r>
        <w:t xml:space="preserve">Months 16-30</w:t>
      </w:r>
    </w:p>
    <w:p>
      <w:pPr>
        <w:pStyle w:val="BodyText"/>
      </w:pPr>
      <w:r>
        <w:rPr>
          <w:iCs/>
          <w:i/>
        </w:rPr>
        <w:t xml:space="preserve">Literature Review &amp; Design</w:t>
      </w:r>
    </w:p>
    <w:p>
      <w:pPr>
        <w:pStyle w:val="BodyText"/>
      </w:pPr>
      <w:r>
        <w:t xml:space="preserve">✓</w:t>
      </w:r>
    </w:p>
    <w:p>
      <w:pPr>
        <w:pStyle w:val="BodyText"/>
      </w:pPr>
      <w:r>
        <w:rPr>
          <w:iCs/>
          <w:i/>
        </w:rPr>
        <w:t xml:space="preserve">Pilot Implementation</w:t>
      </w:r>
    </w:p>
    <w:p>
      <w:pPr>
        <w:pStyle w:val="BodyText"/>
      </w:pPr>
      <w:r>
        <w:t xml:space="preserve">✓</w:t>
      </w:r>
    </w:p>
    <w:p>
      <w:pPr>
        <w:pStyle w:val="BodyText"/>
      </w:pPr>
      <w:r>
        <w:t xml:space="preserve">Data Collection &amp; Analysis</w:t>
      </w:r>
    </w:p>
    <w:bookmarkEnd w:id="26"/>
    <w:bookmarkStart w:id="28" w:name="Xa6382330a7709d823b614056b92efb25d28c237"/>
    <w:p>
      <w:pPr>
        <w:pStyle w:val="Heading2"/>
      </w:pPr>
      <w:r>
        <w:t xml:space="preserve">8. Conclusion: Strategic Alignment with China Beijing's Healthcare Vision</w:t>
      </w:r>
    </w:p>
    <w:p>
      <w:pPr>
        <w:pStyle w:val="FirstParagraph"/>
      </w:pPr>
      <w:r>
        <w:t xml:space="preserve">This Thesis Proposal transcends conventional clinical research to address systemic challenges in ophthalmological care within the context of China Beijing's dual mandate: maintaining world-class medical standards while ensuring universal access. The proposed work positions the</w:t>
      </w:r>
      <w:r>
        <w:t xml:space="preserve"> </w:t>
      </w:r>
      <w:r>
        <w:rPr>
          <w:iCs/>
          <w:i/>
        </w:rPr>
        <w:t xml:space="preserve">Ophthalmologist</w:t>
      </w:r>
      <w:r>
        <w:t xml:space="preserve"> </w:t>
      </w:r>
      <w:r>
        <w:t xml:space="preserve">as an indispensable architect of public health infrastructure, directly supporting Beijing Municipal Government's 2023 "Healthy Capital" initiative. By establishing a data-driven, scalable model for eye care delivery, this research will generate actionable insights for healthcare policymakers nationwide while meeting China's commitment to reducing the burden of avoidable blindness—a priority enshrined in the National Eye Care Plan 2021-2030.</w:t>
      </w:r>
    </w:p>
    <w:p>
      <w:pPr>
        <w:pStyle w:val="BodyText"/>
      </w:pPr>
      <w:r>
        <w:t xml:space="preserve">The success of this Thesis Proposal hinges on Beijing's unique position as a global city with advanced medical capabilities and urgent demographic pressures. Its findings will provide a benchmark for ophthalmological service innovation across China, ultimately contributing to the nation's vision of healthcare equity. This research does not merely propose new procedures—it reimagines the</w:t>
      </w:r>
      <w:r>
        <w:t xml:space="preserve"> </w:t>
      </w:r>
      <w:r>
        <w:rPr>
          <w:iCs/>
          <w:i/>
        </w:rPr>
        <w:t xml:space="preserve">Ophthalmologist</w:t>
      </w:r>
      <w:r>
        <w:t xml:space="preserve">'s role within China Beijing's evolving health ecosystem, where technological integration and community-centric care must converge to serve a rapidly changing population. Through rigorous methodology and contextual adaptation, this study promises to deliver transformative value for millions of residents while setting a precedent for specialty medicine in the Chinese context.</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China Beijing</dc:title>
  <dc:creator/>
  <dc:language>en</dc:language>
  <cp:keywords/>
  <dcterms:created xsi:type="dcterms:W3CDTF">2026-07-20T02:47:27Z</dcterms:created>
  <dcterms:modified xsi:type="dcterms:W3CDTF">2026-07-20T02:47:27Z</dcterms:modified>
</cp:coreProperties>
</file>

<file path=docProps/custom.xml><?xml version="1.0" encoding="utf-8"?>
<Properties xmlns="http://schemas.openxmlformats.org/officeDocument/2006/custom-properties" xmlns:vt="http://schemas.openxmlformats.org/officeDocument/2006/docPropsVTypes"/>
</file>