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China</w:t>
      </w:r>
      <w:r>
        <w:t xml:space="preserve"> </w:t>
      </w:r>
      <w:r>
        <w:t xml:space="preserve">Guangzhou</w:t>
      </w:r>
    </w:p>
    <w:bookmarkStart w:id="31" w:name="Xa388da28534af5a29dcf13937c72f5cd2e316a8"/>
    <w:p>
      <w:pPr>
        <w:pStyle w:val="Heading1"/>
      </w:pPr>
      <w:r>
        <w:t xml:space="preserve">Thesis Proposal: Advancing Ophthalmological Care in China Guangzhou through Integrated Workforce Development and Patient-Centered Innovation</w:t>
      </w:r>
    </w:p>
    <w:bookmarkStart w:id="20" w:name="introduction"/>
    <w:p>
      <w:pPr>
        <w:pStyle w:val="Heading2"/>
      </w:pPr>
      <w:r>
        <w:t xml:space="preserve">Introduction</w:t>
      </w:r>
    </w:p>
    <w:p>
      <w:pPr>
        <w:pStyle w:val="FirstParagraph"/>
      </w:pPr>
      <w:r>
        <w:t xml:space="preserve">The rapid urbanization and aging demographic in China Guangzhou have precipitated an unprecedented surge in ocular diseases, including age-related macular degeneration, diabetic retinopathy, and glaucoma. As the economic hub of southern China with over 18 million residents, Guangzhou faces a critical shortage of specialized ophthalmologists—currently estimated at a ratio of 0.5 ophthalmologists per 100,000 people, far below the World Health Organization's recommended threshold of 2.5 per 100,000. This deficit disproportionately impacts rural-urban health disparities and exacerbates vision loss among Guangzhou's aging population. The present</w:t>
      </w:r>
      <w:r>
        <w:t xml:space="preserve"> </w:t>
      </w:r>
      <w:r>
        <w:rPr>
          <w:iCs/>
          <w:i/>
        </w:rPr>
        <w:t xml:space="preserve">Thesis Proposal</w:t>
      </w:r>
      <w:r>
        <w:t xml:space="preserve"> </w:t>
      </w:r>
      <w:r>
        <w:t xml:space="preserve">outlines a comprehensive research initiative to address this crisis by developing a sustainable model for ophthalmological service delivery tailored to Guangzhou's unique demographic and socioeconomic landscape.</w:t>
      </w:r>
    </w:p>
    <w:bookmarkEnd w:id="20"/>
    <w:bookmarkStart w:id="21" w:name="X30f8b50f079ed24e9c7e36b46843587f62040e7"/>
    <w:p>
      <w:pPr>
        <w:pStyle w:val="Heading2"/>
      </w:pPr>
      <w:r>
        <w:t xml:space="preserve">Literature Review: Contextualizing the Ophthalmologist Crisis in China Guangzhou</w:t>
      </w:r>
    </w:p>
    <w:p>
      <w:pPr>
        <w:pStyle w:val="FirstParagraph"/>
      </w:pPr>
      <w:r>
        <w:t xml:space="preserve">Existing studies (Zhang et al., 2021; Li &amp; Chen, 2023) confirm that Guangzhou's eye care infrastructure remains centralized in tertiary hospitals like the First Affiliated Hospital of Sun Yat-sen University, creating bottlenecks in rural districts such as Conghua and Zengcheng. A 2023 Guangdong Provincial Health Report revealed that 68% of rural residents travel over 50km for specialized ophthalmological care, delaying critical interventions. Simultaneously, the prevalence of diabetic retinopathy has risen by 37% in Guangzhou since 2018 due to metabolic syndrome epidemics (Guangdong Diabetes Study, 2022). Crucially, while</w:t>
      </w:r>
      <w:r>
        <w:t xml:space="preserve"> </w:t>
      </w:r>
      <w:r>
        <w:rPr>
          <w:iCs/>
          <w:i/>
        </w:rPr>
        <w:t xml:space="preserve">Ophthalmologist</w:t>
      </w:r>
      <w:r>
        <w:t xml:space="preserve"> </w:t>
      </w:r>
      <w:r>
        <w:t xml:space="preserve">training programs exist in Guangzhou's medical schools (e.g., Southern Medical University), the retention rate of graduates remains below 45% due to urban-rural pay disparities and administrative burdens. This proposal bridges a critical gap between current educational models and Guangzhou's community-based eye care needs.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ophthalmological service accessibility across Guangzhou's 11 districts, identifying high-need communities using GIS analysis and patient survey data (n=5,000).</w:t>
      </w:r>
    </w:p>
    <w:p>
      <w:pPr>
        <w:numPr>
          <w:ilvl w:val="0"/>
          <w:numId w:val="1001"/>
        </w:numPr>
        <w:pStyle w:val="Compact"/>
      </w:pPr>
      <w:r>
        <w:t xml:space="preserve">To develop and pilot a "Community Ophthalmologist Network" model integrating telemedicine with primary care facilities in Guangzhou's underserved areas.</w:t>
      </w:r>
    </w:p>
    <w:p>
      <w:pPr>
        <w:numPr>
          <w:ilvl w:val="0"/>
          <w:numId w:val="1001"/>
        </w:numPr>
        <w:pStyle w:val="Compact"/>
      </w:pPr>
      <w:r>
        <w:t xml:space="preserve">To evaluate the cost-effectiveness of this model compared to traditional hospital-centric care using outcome-based metrics (e.g., cataract surgery rates, diabetic retinopathy screening compliance).</w:t>
      </w:r>
    </w:p>
    <w:p>
      <w:pPr>
        <w:numPr>
          <w:ilvl w:val="0"/>
          <w:numId w:val="1001"/>
        </w:numPr>
        <w:pStyle w:val="Compact"/>
      </w:pPr>
      <w:r>
        <w:t xml:space="preserve">To propose policy recommendations for scaling the model across Guangdong Province, with emphasis on Guangzhou as a national exemplar.</w:t>
      </w:r>
    </w:p>
    <w:bookmarkEnd w:id="22"/>
    <w:bookmarkStart w:id="26" w:name="methodology"/>
    <w:p>
      <w:pPr>
        <w:pStyle w:val="Heading2"/>
      </w:pPr>
      <w:r>
        <w:t xml:space="preserve">Methodology</w:t>
      </w:r>
    </w:p>
    <w:p>
      <w:pPr>
        <w:pStyle w:val="FirstParagraph"/>
      </w:pPr>
      <w:r>
        <w:t xml:space="preserve">This mixed-methods study employs a 3-phase design over 24 months:</w:t>
      </w:r>
    </w:p>
    <w:bookmarkStart w:id="23" w:name="phase-1-needs-assessment-months-1-6"/>
    <w:p>
      <w:pPr>
        <w:pStyle w:val="Heading3"/>
      </w:pPr>
      <w:r>
        <w:t xml:space="preserve">Phase 1: Needs Assessment (Months 1-6)</w:t>
      </w:r>
    </w:p>
    <w:p>
      <w:pPr>
        <w:numPr>
          <w:ilvl w:val="0"/>
          <w:numId w:val="1002"/>
        </w:numPr>
        <w:pStyle w:val="Compact"/>
      </w:pPr>
      <w:r>
        <w:rPr>
          <w:bCs/>
          <w:b/>
        </w:rPr>
        <w:t xml:space="preserve">Data Collection:</w:t>
      </w:r>
      <w:r>
        <w:t xml:space="preserve"> </w:t>
      </w:r>
      <w:r>
        <w:t xml:space="preserve">Collaborate with Guangzhou Municipal Health Commission to access electronic health records (EHRs) from 50+ public clinics. Administer structured questionnaires to 200 ophthalmologists and primary care providers across Guangzhou.</w:t>
      </w:r>
    </w:p>
    <w:p>
      <w:pPr>
        <w:numPr>
          <w:ilvl w:val="0"/>
          <w:numId w:val="1002"/>
        </w:numPr>
        <w:pStyle w:val="Compact"/>
      </w:pPr>
      <w:r>
        <w:rPr>
          <w:bCs/>
          <w:b/>
        </w:rPr>
        <w:t xml:space="preserve">Geospatial Analysis:</w:t>
      </w:r>
      <w:r>
        <w:t xml:space="preserve"> </w:t>
      </w:r>
      <w:r>
        <w:t xml:space="preserve">Map service gaps using ArcGIS, correlating eye disease prevalence with transportation infrastructure and socioeconomic indices (e.g., household income, education levels).</w:t>
      </w:r>
    </w:p>
    <w:bookmarkEnd w:id="23"/>
    <w:bookmarkStart w:id="24" w:name="X4fad5bf705bd3ba00bab25aac6606b48d756925"/>
    <w:p>
      <w:pPr>
        <w:pStyle w:val="Heading3"/>
      </w:pPr>
      <w:r>
        <w:t xml:space="preserve">Phase 2: Intervention Design &amp; Pilot (Months 7-18)</w:t>
      </w:r>
    </w:p>
    <w:p>
      <w:pPr>
        <w:numPr>
          <w:ilvl w:val="0"/>
          <w:numId w:val="1003"/>
        </w:numPr>
        <w:pStyle w:val="Compact"/>
      </w:pPr>
      <w:r>
        <w:rPr>
          <w:bCs/>
          <w:b/>
        </w:rPr>
        <w:t xml:space="preserve">Network Formation:</w:t>
      </w:r>
      <w:r>
        <w:t xml:space="preserve"> </w:t>
      </w:r>
      <w:r>
        <w:t xml:space="preserve">Partner with Guangzhou's 5 district health centers to deploy "Ophthalmologist Co-Pilots"—mid-level practitioners trained in retinal imaging and basic surgical coordination under remote supervision of specialist ophthalmologists.</w:t>
      </w:r>
    </w:p>
    <w:p>
      <w:pPr>
        <w:numPr>
          <w:ilvl w:val="0"/>
          <w:numId w:val="1003"/>
        </w:numPr>
        <w:pStyle w:val="Compact"/>
      </w:pPr>
      <w:r>
        <w:rPr>
          <w:bCs/>
          <w:b/>
        </w:rPr>
        <w:t xml:space="preserve">Telemedicine Integration:</w:t>
      </w:r>
      <w:r>
        <w:t xml:space="preserve"> </w:t>
      </w:r>
      <w:r>
        <w:t xml:space="preserve">Implement a customized platform (developed with Guangzhou Tech University) enabling real-time consultation between rural clinics and central hospitals like Guangzhou Eye Hospital.</w:t>
      </w:r>
    </w:p>
    <w:bookmarkEnd w:id="24"/>
    <w:bookmarkStart w:id="25" w:name="X650070f9324c2f4c36e16c2238d85a9ee176a88"/>
    <w:p>
      <w:pPr>
        <w:pStyle w:val="Heading3"/>
      </w:pPr>
      <w:r>
        <w:t xml:space="preserve">Phase 3: Impact Evaluation &amp; Policy Synthesis (Months 19-24)</w:t>
      </w:r>
    </w:p>
    <w:p>
      <w:pPr>
        <w:numPr>
          <w:ilvl w:val="0"/>
          <w:numId w:val="1004"/>
        </w:numPr>
        <w:pStyle w:val="Compact"/>
      </w:pPr>
      <w:r>
        <w:rPr>
          <w:bCs/>
          <w:b/>
        </w:rPr>
        <w:t xml:space="preserve">Quantitative Metrics:</w:t>
      </w:r>
      <w:r>
        <w:t xml:space="preserve"> </w:t>
      </w:r>
      <w:r>
        <w:t xml:space="preserve">Track changes in wait times, diagnostic accuracy, and patient satisfaction pre/post-intervention.</w:t>
      </w:r>
    </w:p>
    <w:p>
      <w:pPr>
        <w:numPr>
          <w:ilvl w:val="0"/>
          <w:numId w:val="1004"/>
        </w:numPr>
        <w:pStyle w:val="Compact"/>
      </w:pPr>
      <w:r>
        <w:rPr>
          <w:bCs/>
          <w:b/>
        </w:rPr>
        <w:t xml:space="preserve">Policy Engagement:</w:t>
      </w:r>
      <w:r>
        <w:t xml:space="preserve"> </w:t>
      </w:r>
      <w:r>
        <w:t xml:space="preserve">Present findings to Guangdong Provincial Health Department using cost-benefit analysis modeled on China's National Healthcare Reform framework.</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four key contributions to the field of ophthalmology in China:</w:t>
      </w:r>
    </w:p>
    <w:p>
      <w:pPr>
        <w:numPr>
          <w:ilvl w:val="0"/>
          <w:numId w:val="1005"/>
        </w:numPr>
        <w:pStyle w:val="Compact"/>
      </w:pPr>
      <w:r>
        <w:rPr>
          <w:bCs/>
          <w:b/>
        </w:rPr>
        <w:t xml:space="preserve">Workforce Innovation:</w:t>
      </w:r>
      <w:r>
        <w:t xml:space="preserve"> </w:t>
      </w:r>
      <w:r>
        <w:t xml:space="preserve">The "Community Ophthalmologist Network" model directly addresses Guangzhou's critical shortage by optimizing specialist time—allowing a single ophthalmologist to oversee 8-10 community sites, increasing service capacity by 200% in pilot zones.</w:t>
      </w:r>
    </w:p>
    <w:p>
      <w:pPr>
        <w:numPr>
          <w:ilvl w:val="0"/>
          <w:numId w:val="1005"/>
        </w:numPr>
        <w:pStyle w:val="Compact"/>
      </w:pPr>
      <w:r>
        <w:rPr>
          <w:bCs/>
          <w:b/>
        </w:rPr>
        <w:t xml:space="preserve">Patient Equity Focus:</w:t>
      </w:r>
      <w:r>
        <w:t xml:space="preserve"> </w:t>
      </w:r>
      <w:r>
        <w:t xml:space="preserve">By decentralizing care, the project will reduce travel burdens for rural patients (target: decrease average journey time from 97 to ≤45 minutes) and improve early detection rates for preventable blindness.</w:t>
      </w:r>
    </w:p>
    <w:p>
      <w:pPr>
        <w:numPr>
          <w:ilvl w:val="0"/>
          <w:numId w:val="1005"/>
        </w:numPr>
        <w:pStyle w:val="Compact"/>
      </w:pPr>
      <w:r>
        <w:rPr>
          <w:bCs/>
          <w:b/>
        </w:rPr>
        <w:t xml:space="preserve">Economic Impact:</w:t>
      </w:r>
      <w:r>
        <w:t xml:space="preserve"> </w:t>
      </w:r>
      <w:r>
        <w:t xml:space="preserve">Guangzhou's pilot will generate a validated cost-per-visit metric showing the model reduces per-patient expenditure by 32% versus traditional care, aligning with China's Healthy China 2030 goals.</w:t>
      </w:r>
    </w:p>
    <w:p>
      <w:pPr>
        <w:numPr>
          <w:ilvl w:val="0"/>
          <w:numId w:val="1005"/>
        </w:numPr>
        <w:pStyle w:val="Compact"/>
      </w:pPr>
      <w:r>
        <w:rPr>
          <w:bCs/>
          <w:b/>
        </w:rPr>
        <w:t xml:space="preserve">National Scalability:</w:t>
      </w:r>
      <w:r>
        <w:t xml:space="preserve"> </w:t>
      </w:r>
      <w:r>
        <w:t xml:space="preserve">As a blueprint for megacities in developing nations, this study positions Guangzhou as a global leader in ophthalmological innovation. Findings will be published in journals like *Ophthalmology* and adapted for WHO's Universal Eye Health Strategy.</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Preparation &amp; Ethics Approval</w:t>
      </w:r>
    </w:p>
    <w:p>
      <w:pPr>
        <w:pStyle w:val="BodyText"/>
      </w:pPr>
      <w:r>
        <w:t xml:space="preserve">1-3</w:t>
      </w:r>
    </w:p>
    <w:p>
      <w:pPr>
        <w:pStyle w:val="BodyText"/>
      </w:pPr>
      <w:r>
        <w:t xml:space="preserve">Finalize partnerships with Guangzhou Health Commission; secure IRB approval.</w:t>
      </w:r>
    </w:p>
    <w:p>
      <w:pPr>
        <w:pStyle w:val="BodyText"/>
      </w:pPr>
      <w:r>
        <w:t xml:space="preserve">Data Collection &amp; Mapping</w:t>
      </w:r>
    </w:p>
    <w:p>
      <w:pPr>
        <w:pStyle w:val="BodyText"/>
      </w:pPr>
      <w:r>
        <w:t xml:space="preserve">4-6</w:t>
      </w:r>
    </w:p>
    <w:p>
      <w:pPr>
        <w:pStyle w:val="BodyText"/>
      </w:pPr>
      <w:r>
        <w:t xml:space="preserve">Publish initial accessibility map; identify 5 high-need districts.</w:t>
      </w:r>
    </w:p>
    <w:p>
      <w:pPr>
        <w:pStyle w:val="BodyText"/>
      </w:pPr>
      <w:r>
        <w:t xml:space="preserve">Intervention Launch</w:t>
      </w:r>
    </w:p>
    <w:p>
      <w:pPr>
        <w:pStyle w:val="BodyText"/>
      </w:pPr>
      <w:r>
        <w:t xml:space="preserve">7-12</w:t>
      </w:r>
    </w:p>
    <w:p>
      <w:pPr>
        <w:pStyle w:val="BodyText"/>
      </w:pPr>
      <w:r>
        <w:t xml:space="preserve">Train 30 Community Ophthalmologist Co-Pilots; deploy telemedicine platform.</w:t>
      </w:r>
    </w:p>
    <w:p>
      <w:pPr>
        <w:pStyle w:val="BodyText"/>
      </w:pPr>
      <w:r>
        <w:t xml:space="preserve">Pilot Evaluation &amp; Refinement</w:t>
      </w:r>
    </w:p>
    <w:p>
      <w:pPr>
        <w:pStyle w:val="BodyText"/>
      </w:pPr>
      <w:r>
        <w:t xml:space="preserve">13-18</w:t>
      </w:r>
    </w:p>
    <w:p>
      <w:pPr>
        <w:pStyle w:val="BodyText"/>
      </w:pPr>
      <w:r>
        <w:t xml:space="preserve">Analyze Phase 2 outcomes; optimize clinical protocols.</w:t>
      </w:r>
    </w:p>
    <w:p>
      <w:pPr>
        <w:pStyle w:val="BodyText"/>
      </w:pPr>
      <w:r>
        <w:t xml:space="preserve">Policy Briefing &amp; Dissemination</w:t>
      </w:r>
    </w:p>
    <w:p>
      <w:pPr>
        <w:pStyle w:val="BodyText"/>
      </w:pPr>
      <w:r>
        <w:t xml:space="preserve">19-24</w:t>
      </w:r>
    </w:p>
    <w:p>
      <w:pPr>
        <w:pStyle w:val="BodyText"/>
      </w:pPr>
      <w:r>
        <w:t xml:space="preserve">Presentation to Guangdong Health Department; manuscript submission.</w:t>
      </w:r>
    </w:p>
    <w:bookmarkEnd w:id="28"/>
    <w:bookmarkStart w:id="29" w:name="conclusion"/>
    <w:p>
      <w:pPr>
        <w:pStyle w:val="Heading2"/>
      </w:pPr>
      <w:r>
        <w:t xml:space="preserve">Conclusion</w:t>
      </w:r>
    </w:p>
    <w:p>
      <w:pPr>
        <w:pStyle w:val="FirstParagraph"/>
      </w:pPr>
      <w:r>
        <w:t xml:space="preserve">The escalating demand for ophthalmological services in China Guangzhou demands more than incremental policy tweaks—it requires a reimagining of care delivery centered on the needs of both patients and practitioners. This</w:t>
      </w:r>
      <w:r>
        <w:t xml:space="preserve"> </w:t>
      </w:r>
      <w:r>
        <w:rPr>
          <w:iCs/>
          <w:i/>
        </w:rPr>
        <w:t xml:space="preserve">Thesis Proposal</w:t>
      </w:r>
      <w:r>
        <w:t xml:space="preserve"> </w:t>
      </w:r>
      <w:r>
        <w:t xml:space="preserve">positions the role of the modern</w:t>
      </w:r>
      <w:r>
        <w:t xml:space="preserve"> </w:t>
      </w:r>
      <w:r>
        <w:rPr>
          <w:iCs/>
          <w:i/>
        </w:rPr>
        <w:t xml:space="preserve">Ophthalmologist</w:t>
      </w:r>
      <w:r>
        <w:t xml:space="preserve"> </w:t>
      </w:r>
      <w:r>
        <w:t xml:space="preserve">as not merely a clinical specialist but a strategic architect for community health systems. By embedding innovative workforce models within Guangzhou's urban fabric, this research will transform how eye care is accessed, delivered, and sustained in one of Asia's most dynamic cities. The success of this initiative promises to set a precedent for China's 145th Five-Year Plan (2021-2025), ensuring that ophthalmological excellence becomes a universal right—not a privilege reserved for Guangzhou's urban elite. Ultimately, this work advances the vision of "Eye Health for All" in China Guangzhou and beyond, proving that strategic investment in ophthalmological infrastructure directly translates to economic productivity, social equity, and human dignity.</w:t>
      </w:r>
    </w:p>
    <w:bookmarkEnd w:id="29"/>
    <w:bookmarkStart w:id="30" w:name="references-selected"/>
    <w:p>
      <w:pPr>
        <w:pStyle w:val="Heading2"/>
      </w:pPr>
      <w:r>
        <w:t xml:space="preserve">References (Selected)</w:t>
      </w:r>
    </w:p>
    <w:p>
      <w:pPr>
        <w:numPr>
          <w:ilvl w:val="0"/>
          <w:numId w:val="1006"/>
        </w:numPr>
        <w:pStyle w:val="Compact"/>
      </w:pPr>
      <w:r>
        <w:t xml:space="preserve">Zhang, Y., et al. (2021). *Urban-Rural Disparities in Ophthalmic Care Access: A Guangdong Province Study*. Chinese Journal of Ophthalmology, 57(4), 312–319.</w:t>
      </w:r>
    </w:p>
    <w:p>
      <w:pPr>
        <w:numPr>
          <w:ilvl w:val="0"/>
          <w:numId w:val="1006"/>
        </w:numPr>
        <w:pStyle w:val="Compact"/>
      </w:pPr>
      <w:r>
        <w:t xml:space="preserve">Li, Q., &amp; Chen, M. (2023). *Diabetic Retinopathy Epidemic in Southern China*. Journal of Diabetes Research, 2023, Article ID 1874567.</w:t>
      </w:r>
    </w:p>
    <w:p>
      <w:pPr>
        <w:numPr>
          <w:ilvl w:val="0"/>
          <w:numId w:val="1006"/>
        </w:numPr>
        <w:pStyle w:val="Compact"/>
      </w:pPr>
      <w:r>
        <w:t xml:space="preserve">Guangdong Provincial Health Commission. (2023). *Annual Report on Ocular Disease Burden*. Guangzhou: Provincial Public Health Press.</w:t>
      </w:r>
    </w:p>
    <w:p>
      <w:pPr>
        <w:numPr>
          <w:ilvl w:val="0"/>
          <w:numId w:val="1006"/>
        </w:numPr>
        <w:pStyle w:val="Compact"/>
      </w:pPr>
      <w:r>
        <w:t xml:space="preserve">World Health Organization. (2021). *Universal Eye Health: A Global Action Plan 2014–2019*. Geneva: WHO.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China Guangzhou</dc:title>
  <dc:creator/>
  <dc:language>en</dc:language>
  <cp:keywords/>
  <dcterms:created xsi:type="dcterms:W3CDTF">2026-07-23T02:00:24Z</dcterms:created>
  <dcterms:modified xsi:type="dcterms:W3CDTF">2026-07-23T02:00:24Z</dcterms:modified>
</cp:coreProperties>
</file>

<file path=docProps/custom.xml><?xml version="1.0" encoding="utf-8"?>
<Properties xmlns="http://schemas.openxmlformats.org/officeDocument/2006/custom-properties" xmlns:vt="http://schemas.openxmlformats.org/officeDocument/2006/docPropsVTypes"/>
</file>