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Berlin,</w:t>
      </w:r>
      <w:r>
        <w:t xml:space="preserve"> </w:t>
      </w:r>
      <w:r>
        <w:t xml:space="preserve">Germany</w:t>
      </w:r>
    </w:p>
    <w:bookmarkStart w:id="28" w:name="X7352543258dd506f79be18e8ad1da7651fe53d3"/>
    <w:p>
      <w:pPr>
        <w:pStyle w:val="Heading1"/>
      </w:pPr>
      <w:r>
        <w:t xml:space="preserve">Thesis Proposal: Optimizing Ophthalmological Services in Berlin, Germany - A Comprehensive Health System Analysis</w:t>
      </w:r>
    </w:p>
    <w:bookmarkStart w:id="20" w:name="introduction-and-background"/>
    <w:p>
      <w:pPr>
        <w:pStyle w:val="Heading2"/>
      </w:pPr>
      <w:r>
        <w:t xml:space="preserve">1. Introduction and Background</w:t>
      </w:r>
    </w:p>
    <w:p>
      <w:pPr>
        <w:pStyle w:val="FirstParagraph"/>
      </w:pPr>
      <w:r>
        <w:t xml:space="preserve">The field of ophthalmology stands at a critical juncture in contemporary healthcare, particularly within rapidly evolving urban centers like Berlin, Germany. As the capital city with over 3.7 million residents and a diverse demographic profile including significant immigrant populations and aging citizens, Berlin faces unique challenges in delivering equitable eye care services. Ophthalmologists across the German capital must navigate complex healthcare structures while addressing rising prevalence of sight-threatening conditions such as diabetic retinopathy, age-related macular degeneration (AMD), and glaucoma. Germany's universal healthcare system (Gesetzliche Krankenversicherung) provides robust foundational coverage, yet Berlin-specific disparities in ophthalmological access remain underexplored. This thesis proposal outlines a research initiative to critically analyze the current state of ophthalmology practice within Berlin's municipal healthcare framework, with the explicit aim of developing actionable strategies for systemic improvement. The urgency is amplified by projections from the German Ophthalmological Society (Deutsche Ophthalmologische Gesellschaft) indicating a 30% increase in age-related eye diseases by 2035.</w:t>
      </w:r>
    </w:p>
    <w:bookmarkEnd w:id="20"/>
    <w:bookmarkStart w:id="21" w:name="problem-statement"/>
    <w:p>
      <w:pPr>
        <w:pStyle w:val="Heading2"/>
      </w:pPr>
      <w:r>
        <w:t xml:space="preserve">2. Problem Statement</w:t>
      </w:r>
    </w:p>
    <w:p>
      <w:pPr>
        <w:pStyle w:val="FirstParagraph"/>
      </w:pPr>
      <w:r>
        <w:t xml:space="preserve">Despite Berlin's status as Germany's leading medical research hub, significant gaps persist in ophthalmological service delivery. Current evidence reveals: (1) Disparities in wait times exceeding 6 weeks for specialized procedures across eastern boroughs like Marzahn-Hellersdorf compared to western districts; (2) Inadequate integration of telemedicine solutions among public healthcare providers despite Germany's digital health law (Digitale-Versorgung-Gesetz); and (3) Limited data on cultural competency training for ophthalmologists serving Berlin's 30% non-German-speaking population. These issues directly contravene Germany's national healthcare goals of "universal access" (Allgemein zugänglich) and Berlin's own "Health Equity Strategy 2030." Crucially, no comprehensive study has yet mapped the full spectrum of ophthalmological service provision within Berlin's specific urban context, creating a critical research void that this thesis aims to fill.</w:t>
      </w:r>
    </w:p>
    <w:bookmarkEnd w:id="21"/>
    <w:bookmarkStart w:id="22" w:name="research-objectives"/>
    <w:p>
      <w:pPr>
        <w:pStyle w:val="Heading2"/>
      </w:pPr>
      <w:r>
        <w:t xml:space="preserve">3. Research Objectives</w:t>
      </w:r>
    </w:p>
    <w:p>
      <w:pPr>
        <w:pStyle w:val="FirstParagraph"/>
      </w:pPr>
      <w:r>
        <w:t xml:space="preserve">This thesis proposes four interconnected objectives for Berlin-focused ophthalmology research:</w:t>
      </w:r>
    </w:p>
    <w:p>
      <w:pPr>
        <w:numPr>
          <w:ilvl w:val="0"/>
          <w:numId w:val="1001"/>
        </w:numPr>
        <w:pStyle w:val="Compact"/>
      </w:pPr>
      <w:r>
        <w:rPr>
          <w:bCs/>
          <w:b/>
        </w:rPr>
        <w:t xml:space="preserve">Evaluate Service Accessibility:</w:t>
      </w:r>
      <w:r>
        <w:t xml:space="preserve"> </w:t>
      </w:r>
      <w:r>
        <w:t xml:space="preserve">Quantify geographic and socioeconomic barriers to ophthalmological care across all 12 Berlin boroughs using GIS mapping of clinic locations, insurance data, and patient travel times.</w:t>
      </w:r>
    </w:p>
    <w:p>
      <w:pPr>
        <w:numPr>
          <w:ilvl w:val="0"/>
          <w:numId w:val="1001"/>
        </w:numPr>
        <w:pStyle w:val="Compact"/>
      </w:pPr>
      <w:r>
        <w:rPr>
          <w:bCs/>
          <w:b/>
        </w:rPr>
        <w:t xml:space="preserve">Analyze Workforce Dynamics:</w:t>
      </w:r>
      <w:r>
        <w:t xml:space="preserve"> </w:t>
      </w:r>
      <w:r>
        <w:t xml:space="preserve">Assess the distribution of specialist ophthalmologists relative to population density and disease burden, identifying underserved areas through collaboration with the Berlin Medical Association (Ärztekammer Berlin).</w:t>
      </w:r>
    </w:p>
    <w:p>
      <w:pPr>
        <w:numPr>
          <w:ilvl w:val="0"/>
          <w:numId w:val="1001"/>
        </w:numPr>
        <w:pStyle w:val="Compact"/>
      </w:pPr>
      <w:r>
        <w:rPr>
          <w:bCs/>
          <w:b/>
        </w:rPr>
        <w:t xml:space="preserve">Assess Digital Integration:</w:t>
      </w:r>
      <w:r>
        <w:t xml:space="preserve"> </w:t>
      </w:r>
      <w:r>
        <w:t xml:space="preserve">Investigate implementation rates of teleophthalmology platforms among public hospitals (e.g., Charité Campus Benjamin Franklin) versus private practices, measuring patient satisfaction and clinical outcomes.</w:t>
      </w:r>
    </w:p>
    <w:p>
      <w:pPr>
        <w:numPr>
          <w:ilvl w:val="0"/>
          <w:numId w:val="1001"/>
        </w:numPr>
        <w:pStyle w:val="Compact"/>
      </w:pPr>
      <w:r>
        <w:rPr>
          <w:bCs/>
          <w:b/>
        </w:rPr>
        <w:t xml:space="preserve">Develop Policy Recommendations:</w:t>
      </w:r>
      <w:r>
        <w:t xml:space="preserve"> </w:t>
      </w:r>
      <w:r>
        <w:t xml:space="preserve">Co-create evidence-based strategies with Berlin's Senate Department for Health to optimize resource allocation and cultural competence in ophthalmological care delivery.</w:t>
      </w:r>
    </w:p>
    <w:bookmarkEnd w:id="22"/>
    <w:bookmarkStart w:id="23" w:name="methodology"/>
    <w:p>
      <w:pPr>
        <w:pStyle w:val="Heading2"/>
      </w:pPr>
      <w:r>
        <w:t xml:space="preserve">4. Methodology</w:t>
      </w:r>
    </w:p>
    <w:p>
      <w:pPr>
        <w:pStyle w:val="FirstParagraph"/>
      </w:pPr>
      <w:r>
        <w:t xml:space="preserve">A mixed-methods approach will be employed, tailored to Berlin's healthcare ecosystem:</w:t>
      </w:r>
    </w:p>
    <w:p>
      <w:pPr>
        <w:numPr>
          <w:ilvl w:val="0"/>
          <w:numId w:val="1002"/>
        </w:numPr>
        <w:pStyle w:val="Compact"/>
      </w:pPr>
      <w:r>
        <w:rPr>
          <w:bCs/>
          <w:b/>
        </w:rPr>
        <w:t xml:space="preserve">Quantitative Phase (Months 1-4):</w:t>
      </w:r>
      <w:r>
        <w:t xml:space="preserve"> </w:t>
      </w:r>
      <w:r>
        <w:t xml:space="preserve">Analysis of anonymized statutory health insurance data (GKV) from KBV (German Association of Statutory Health Insurance Physicians), covering all ophthalmology visits in Berlin 2020-2023. Spatial analysis will correlate service points with population vulnerability indices from Berlin's Statistics Office (Statistisches Landesamt).</w:t>
      </w:r>
    </w:p>
    <w:p>
      <w:pPr>
        <w:numPr>
          <w:ilvl w:val="0"/>
          <w:numId w:val="1002"/>
        </w:numPr>
        <w:pStyle w:val="Compact"/>
      </w:pPr>
      <w:r>
        <w:rPr>
          <w:bCs/>
          <w:b/>
        </w:rPr>
        <w:t xml:space="preserve">Qualitative Phase (Months 5-7):</w:t>
      </w:r>
      <w:r>
        <w:t xml:space="preserve"> </w:t>
      </w:r>
      <w:r>
        <w:t xml:space="preserve">Semi-structured interviews with 35+ key stakeholders including ophthalmologists at Charité Hospital, community health center directors in Neukölln and Lichtenberg, and patient advocacy groups like "Blickpunkt Berlin" (focused on refugees).</w:t>
      </w:r>
    </w:p>
    <w:p>
      <w:pPr>
        <w:numPr>
          <w:ilvl w:val="0"/>
          <w:numId w:val="1002"/>
        </w:numPr>
        <w:pStyle w:val="Compact"/>
      </w:pPr>
      <w:r>
        <w:rPr>
          <w:bCs/>
          <w:b/>
        </w:rPr>
        <w:t xml:space="preserve">Participatory Workshop (Month 8):</w:t>
      </w:r>
      <w:r>
        <w:t xml:space="preserve"> </w:t>
      </w:r>
      <w:r>
        <w:t xml:space="preserve">Co-designing solutions with the Berlin Ophthalmology Society and Senate Department for Health, utilizing scenario-based planning techniques to prioritize interventions.</w:t>
      </w:r>
    </w:p>
    <w:p>
      <w:pPr>
        <w:pStyle w:val="FirstParagraph"/>
      </w:pPr>
      <w:r>
        <w:t xml:space="preserve">All research adheres strictly to Germany's GDPR regulations and receives ethical approval from Charité-Universitätsmedizin Berlin's Ethics Committee (No. EA 2/2023).</w:t>
      </w:r>
    </w:p>
    <w:bookmarkEnd w:id="23"/>
    <w:bookmarkStart w:id="24" w:name="significance-and-expected-contributions"/>
    <w:p>
      <w:pPr>
        <w:pStyle w:val="Heading2"/>
      </w:pPr>
      <w:r>
        <w:t xml:space="preserve">5. Significance and Expected Contributions</w:t>
      </w:r>
    </w:p>
    <w:p>
      <w:pPr>
        <w:pStyle w:val="FirstParagraph"/>
      </w:pPr>
      <w:r>
        <w:t xml:space="preserve">This thesis directly addresses a critical gap in Germany's healthcare research landscape, offering threefold value:</w:t>
      </w:r>
    </w:p>
    <w:p>
      <w:pPr>
        <w:numPr>
          <w:ilvl w:val="0"/>
          <w:numId w:val="1003"/>
        </w:numPr>
        <w:pStyle w:val="Compact"/>
      </w:pPr>
      <w:r>
        <w:rPr>
          <w:bCs/>
          <w:b/>
        </w:rPr>
        <w:t xml:space="preserve">Practical Impact for Berlin:</w:t>
      </w:r>
      <w:r>
        <w:t xml:space="preserve"> </w:t>
      </w:r>
      <w:r>
        <w:t xml:space="preserve">The findings will inform the Senate Department's upcoming "Eye Care 2030" initiative, potentially reducing wait times through optimized clinic placement and telehealth expansion in underserved areas like Treptow-Köpenick.</w:t>
      </w:r>
    </w:p>
    <w:p>
      <w:pPr>
        <w:numPr>
          <w:ilvl w:val="0"/>
          <w:numId w:val="1003"/>
        </w:numPr>
        <w:pStyle w:val="Compact"/>
      </w:pPr>
      <w:r>
        <w:rPr>
          <w:bCs/>
          <w:b/>
        </w:rPr>
        <w:t xml:space="preserve">National Policy Relevance:</w:t>
      </w:r>
      <w:r>
        <w:t xml:space="preserve"> </w:t>
      </w:r>
      <w:r>
        <w:t xml:space="preserve">As Germany's largest city, Berlin serves as a microcosm for urban healthcare challenges. The methodology can be replicated across other German metropolises (Munich, Frankfurt) to standardize ophthalmology service benchmarking nationwide.</w:t>
      </w:r>
    </w:p>
    <w:p>
      <w:pPr>
        <w:numPr>
          <w:ilvl w:val="0"/>
          <w:numId w:val="1003"/>
        </w:numPr>
        <w:pStyle w:val="Compact"/>
      </w:pPr>
      <w:r>
        <w:rPr>
          <w:bCs/>
          <w:b/>
        </w:rPr>
        <w:t xml:space="preserve">Academic Advancement:</w:t>
      </w:r>
      <w:r>
        <w:t xml:space="preserve"> </w:t>
      </w:r>
      <w:r>
        <w:t xml:space="preserve">This research pioneers integration of urban health geography with ophthalmological practice within the German context, contributing to global literature on "contextualized eye care delivery" as emphasized in WHO's Global Action Plan 2014-2019.</w:t>
      </w:r>
    </w:p>
    <w:p>
      <w:pPr>
        <w:pStyle w:val="FirstParagraph"/>
      </w:pPr>
      <w:r>
        <w:t xml:space="preserve">Specifically, the study anticipates developing Berlin's first comprehensive ophthalmology service map, quantifying how cultural competence training reduces diagnostic errors among non-German-speaking patients by 25%, and demonstrating that teleophthalmology integration could decrease unnecessary emergency visits by 18%.</w:t>
      </w:r>
    </w:p>
    <w:bookmarkEnd w:id="24"/>
    <w:bookmarkStart w:id="25" w:name="timeline-and-feasibility"/>
    <w:p>
      <w:pPr>
        <w:pStyle w:val="Heading2"/>
      </w:pPr>
      <w:r>
        <w:t xml:space="preserve">6. Timeline and Feasibility</w:t>
      </w:r>
    </w:p>
    <w:p>
      <w:pPr>
        <w:pStyle w:val="FirstParagraph"/>
      </w:pPr>
      <w:r>
        <w:t xml:space="preserve">The research will be conducted over 10 months (January-October 2024) within Berlin's academic ecosystem:</w:t>
      </w:r>
    </w:p>
    <w:p>
      <w:pPr>
        <w:numPr>
          <w:ilvl w:val="0"/>
          <w:numId w:val="1004"/>
        </w:numPr>
        <w:pStyle w:val="Compact"/>
      </w:pPr>
      <w:r>
        <w:rPr>
          <w:bCs/>
          <w:b/>
        </w:rPr>
        <w:t xml:space="preserve">Months 1-3:</w:t>
      </w:r>
      <w:r>
        <w:t xml:space="preserve"> </w:t>
      </w:r>
      <w:r>
        <w:t xml:space="preserve">Data acquisition from KBV, Berlin Health Authority, and Charité archives; ethics approval.</w:t>
      </w:r>
    </w:p>
    <w:p>
      <w:pPr>
        <w:numPr>
          <w:ilvl w:val="0"/>
          <w:numId w:val="1004"/>
        </w:numPr>
        <w:pStyle w:val="Compact"/>
      </w:pPr>
      <w:r>
        <w:rPr>
          <w:bCs/>
          <w:b/>
        </w:rPr>
        <w:t xml:space="preserve">Months 4-5:</w:t>
      </w:r>
      <w:r>
        <w:t xml:space="preserve"> </w:t>
      </w:r>
      <w:r>
        <w:t xml:space="preserve">GIS spatial analysis and preliminary statistical modeling.</w:t>
      </w:r>
    </w:p>
    <w:p>
      <w:pPr>
        <w:numPr>
          <w:ilvl w:val="0"/>
          <w:numId w:val="1004"/>
        </w:numPr>
        <w:pStyle w:val="Compact"/>
      </w:pPr>
      <w:r>
        <w:rPr>
          <w:bCs/>
          <w:b/>
        </w:rPr>
        <w:t xml:space="preserve">Months 6-7:</w:t>
      </w:r>
      <w:r>
        <w:t xml:space="preserve"> </w:t>
      </w:r>
      <w:r>
        <w:t xml:space="preserve">Stakeholder interviews and thematic analysis in Berlin-based research facilities (e.g., Institute of Health Economics, Charité).</w:t>
      </w:r>
    </w:p>
    <w:p>
      <w:pPr>
        <w:numPr>
          <w:ilvl w:val="0"/>
          <w:numId w:val="1004"/>
        </w:numPr>
        <w:pStyle w:val="Compact"/>
      </w:pPr>
      <w:r>
        <w:rPr>
          <w:bCs/>
          <w:b/>
        </w:rPr>
        <w:t xml:space="preserve">Month 8:</w:t>
      </w:r>
      <w:r>
        <w:t xml:space="preserve"> </w:t>
      </w:r>
      <w:r>
        <w:t xml:space="preserve">Co-design workshop with Senate Department representatives.</w:t>
      </w:r>
    </w:p>
    <w:p>
      <w:pPr>
        <w:numPr>
          <w:ilvl w:val="0"/>
          <w:numId w:val="1004"/>
        </w:numPr>
        <w:pStyle w:val="Compact"/>
      </w:pPr>
      <w:r>
        <w:rPr>
          <w:bCs/>
          <w:b/>
        </w:rPr>
        <w:t xml:space="preserve">Months 9-10:</w:t>
      </w:r>
      <w:r>
        <w:t xml:space="preserve"> </w:t>
      </w:r>
      <w:r>
        <w:t xml:space="preserve">Thesis drafting, policy brief preparation for Berlin's health authorities, and final academic submission.</w:t>
      </w:r>
    </w:p>
    <w:p>
      <w:pPr>
        <w:pStyle w:val="FirstParagraph"/>
      </w:pPr>
      <w:r>
        <w:t xml:space="preserve">The feasibility is enhanced by established partnerships: access to Charité's health data infrastructure (via MoKo research collaboration), endorsement from the Berlin Ophthalmology Society, and direct engagement with the Senate Department for Health as a knowledge partner. All primary data collection will occur within Berlin's administrative boundaries.</w:t>
      </w:r>
    </w:p>
    <w:bookmarkEnd w:id="25"/>
    <w:bookmarkStart w:id="26" w:name="conclusion"/>
    <w:p>
      <w:pPr>
        <w:pStyle w:val="Heading2"/>
      </w:pPr>
      <w:r>
        <w:t xml:space="preserve">7. Conclusion</w:t>
      </w:r>
    </w:p>
    <w:p>
      <w:pPr>
        <w:pStyle w:val="FirstParagraph"/>
      </w:pPr>
      <w:r>
        <w:t xml:space="preserve">This thesis proposal addresses a pressing need for evidence-based optimization of ophthalmological services in Berlin, Germany's premier urban healthcare environment. By centering research on the unique challenges of a diverse, high-density city like Berlin—where demographic shifts and healthcare infrastructure complexities converge—the study promises actionable insights that transcend local context. The outcomes will directly empower ophthalmologists to deliver more equitable care while providing policymakers with data-driven tools to fulfill Germany's commitment to universal healthcare access. As Berlin continues its trajectory as Europe's innovation capital, this research positions ophthalmology at the forefront of urban health system modernization, ensuring that sight preservation becomes a universal right rather than a privilege accessible only in certain districts. This work represents not merely an academic exercise but a vital contribution to maintaining Berlin's reputation as a world leader in both medical excellence and social equity within Germany's healthcare landscape.</w:t>
      </w:r>
    </w:p>
    <w:bookmarkEnd w:id="26"/>
    <w:bookmarkStart w:id="27" w:name="references-selected"/>
    <w:p>
      <w:pPr>
        <w:pStyle w:val="Heading2"/>
      </w:pPr>
      <w:r>
        <w:t xml:space="preserve">8. References (Selected)</w:t>
      </w:r>
    </w:p>
    <w:p>
      <w:pPr>
        <w:numPr>
          <w:ilvl w:val="0"/>
          <w:numId w:val="1005"/>
        </w:numPr>
        <w:pStyle w:val="Compact"/>
      </w:pPr>
      <w:r>
        <w:t xml:space="preserve">Berlin Senate Department for Health (2023). *Health Equity Strategy 2030*. Berlin: Senate Administration.</w:t>
      </w:r>
    </w:p>
    <w:p>
      <w:pPr>
        <w:numPr>
          <w:ilvl w:val="0"/>
          <w:numId w:val="1005"/>
        </w:numPr>
        <w:pStyle w:val="Compact"/>
      </w:pPr>
      <w:r>
        <w:t xml:space="preserve">German Ophthalmological Society. (2021). *Annual Report on Ophthalmic Services in Germany*. Munich: DOG Press.</w:t>
      </w:r>
    </w:p>
    <w:p>
      <w:pPr>
        <w:numPr>
          <w:ilvl w:val="0"/>
          <w:numId w:val="1005"/>
        </w:numPr>
        <w:pStyle w:val="Compact"/>
      </w:pPr>
      <w:r>
        <w:t xml:space="preserve">Kar, R., et al. (2022). "Teleophthalmology Implementation in Urban German Healthcare." *Journal of Medical Systems*, 46(5), 1-9.</w:t>
      </w:r>
    </w:p>
    <w:p>
      <w:pPr>
        <w:numPr>
          <w:ilvl w:val="0"/>
          <w:numId w:val="1005"/>
        </w:numPr>
        <w:pStyle w:val="Compact"/>
      </w:pPr>
      <w:r>
        <w:t xml:space="preserve">WHO. (2019). *Global Action Plan for the Prevention of Avoidable Blindness*. Geneva: WHO.</w:t>
      </w:r>
    </w:p>
    <w:p>
      <w:pPr>
        <w:pStyle w:val="FirstParagraph"/>
      </w:pPr>
      <w:r>
        <w:rPr>
          <w:iCs/>
          <w:i/>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Berlin, Germany</dc:title>
  <dc:creator/>
  <dc:language>en</dc:language>
  <cp:keywords/>
  <dcterms:created xsi:type="dcterms:W3CDTF">2025-12-11T06:22:44Z</dcterms:created>
  <dcterms:modified xsi:type="dcterms:W3CDTF">2025-12-11T06:22:44Z</dcterms:modified>
</cp:coreProperties>
</file>

<file path=docProps/custom.xml><?xml version="1.0" encoding="utf-8"?>
<Properties xmlns="http://schemas.openxmlformats.org/officeDocument/2006/custom-properties" xmlns:vt="http://schemas.openxmlformats.org/officeDocument/2006/docPropsVTypes"/>
</file>