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Germany</w:t>
      </w:r>
      <w:r>
        <w:t xml:space="preserve"> </w:t>
      </w:r>
      <w:r>
        <w:t xml:space="preserve">Frankfurt</w:t>
      </w:r>
    </w:p>
    <w:bookmarkStart w:id="29" w:name="X7348090ef36aec262dbf52ce47288483a45539e"/>
    <w:p>
      <w:pPr>
        <w:pStyle w:val="Heading1"/>
      </w:pPr>
      <w:r>
        <w:t xml:space="preserve">Thesis Proposal: Technological Integration and Patient Accessibility in Ophthalmologist Practice within Germany Frankfurt</w:t>
      </w:r>
    </w:p>
    <w:bookmarkStart w:id="20" w:name="introduction-and-background"/>
    <w:p>
      <w:pPr>
        <w:pStyle w:val="Heading2"/>
      </w:pPr>
      <w:r>
        <w:t xml:space="preserve">1. Introduction and Background</w:t>
      </w:r>
    </w:p>
    <w:p>
      <w:pPr>
        <w:pStyle w:val="FirstParagraph"/>
      </w:pPr>
      <w:r>
        <w:t xml:space="preserve">The field of ophthalmology faces unprecedented transformation across Europe, with Germany positioned at the forefront of medical innovation. In Germany Frankfurt—a global hub for healthcare innovation, finance, and multicultural demographics—the role of the Ophthalmologist has evolved beyond traditional clinical duties to encompass digital integration, patient-centered care models, and adaptive responses to demographic shifts. As Frankfurt's population ages rapidly (projected 25% over 65 by 2030), demand for ophthalmological services surges, straining existing infrastructure. This Thesis Proposal addresses a critical gap: the lack of localized research on how technological advancements impact Ophthalmologist workflow, patient accessibility, and healthcare outcomes within Germany Frankfurt's unique urban ecosystem. With over 120 ophthalmology clinics in Frankfurt alone (Frankfurt Health Report, 2023), understanding systemic inefficiencies is imperative for sustainable healthcare delivery.</w:t>
      </w:r>
    </w:p>
    <w:bookmarkEnd w:id="20"/>
    <w:bookmarkStart w:id="21" w:name="problem-statement"/>
    <w:p>
      <w:pPr>
        <w:pStyle w:val="Heading2"/>
      </w:pPr>
      <w:r>
        <w:t xml:space="preserve">2. Problem Statement</w:t>
      </w:r>
    </w:p>
    <w:p>
      <w:pPr>
        <w:pStyle w:val="FirstParagraph"/>
      </w:pPr>
      <w:r>
        <w:t xml:space="preserve">Despite Germany's world-class healthcare system, Frankfurt experiences significant disparities in ophthalmological care access. Long patient wait times (averaging 6–8 weeks for non-emergency procedures) and fragmented digital records hinder the efficiency of the Ophthalmologist. Crucially, while national guidelines promote AI-driven diagnostics and telemedicine, implementation remains inconsistent across clinics in Germany Frankfurt due to infrastructure costs, regulatory ambiguities under GDPR, and physician training gaps. This Thesis Proposal directly confronts these challenges by investigating how technology adoption affects the daily practice of an Ophthalmologist in this specific context—a gap unaddressed in existing literature which focuses on national or urban averages rather than Frankfurt's micro-ecosystem.</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t xml:space="preserve">Quantify the correlation between digital tool integration (AI imaging, telehealth platforms) and patient wait times at Ophthalmologist clinics in Germany Frankfurt.</w:t>
      </w:r>
    </w:p>
    <w:p>
      <w:pPr>
        <w:pStyle w:val="BodyText"/>
      </w:pPr>
      <w:r>
        <w:t xml:space="preserve">Evaluate physician workflow efficiency through structured interviews with 50+ Ophthalmologists across 15 private/public clinics in Frankfurt.</w:t>
      </w:r>
    </w:p>
    <w:p>
      <w:pPr>
        <w:pStyle w:val="BodyText"/>
      </w:pPr>
      <w:r>
        <w:t xml:space="preserve">Assess patient satisfaction metrics (via surveys) concerning accessibility of care under current technological frameworks.</w:t>
      </w:r>
    </w:p>
    <w:p>
      <w:pPr>
        <w:numPr>
          <w:ilvl w:val="0"/>
          <w:numId w:val="1001"/>
        </w:numPr>
        <w:pStyle w:val="Compact"/>
      </w:pPr>
      <w:r>
        <w:t xml:space="preserve">Specifically targeting demographic subgroups (e.g., elderly, non-German speakers) prevalent in Frankfurt's population.</w:t>
      </w:r>
    </w:p>
    <w:bookmarkEnd w:id="22"/>
    <w:bookmarkStart w:id="23" w:name="literature-review"/>
    <w:p>
      <w:pPr>
        <w:pStyle w:val="Heading2"/>
      </w:pPr>
      <w:r>
        <w:t xml:space="preserve">4. Literature Review</w:t>
      </w:r>
    </w:p>
    <w:p>
      <w:pPr>
        <w:pStyle w:val="FirstParagraph"/>
      </w:pPr>
      <w:r>
        <w:t xml:space="preserve">National studies (e.g., Bundesärztekammer, 2022) confirm Germany's leadership in AI adoption for retinal imaging, yet Frankfurt-specific data remains scarce. A 2023 EU Health Report notes that German Ophthalmologists spend 47% of clinical time on administrative tasks—higher than the European average—primarily due to paper-based systems. In contrast, Frankfurt's proximity to tech incubators like "Frankfurt Health Tech Hub" offers a unique testing ground for innovation. However, no research has analyzed how this infrastructure translates into tangible benefits for the Ophthalmologist in day-to-day practice within Germany Frankfurt's competitive healthcare market. This Thesis Proposal bridges this critical void.</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Secure anonymized data from Frankfurt's Health Information System (HIS) for 10 clinics (2020–2024), measuring wait times, procedure volumes, and technology usage.</w:t>
      </w:r>
    </w:p>
    <w:p>
      <w:pPr>
        <w:numPr>
          <w:ilvl w:val="0"/>
          <w:numId w:val="1002"/>
        </w:numPr>
        <w:pStyle w:val="Compact"/>
      </w:pPr>
      <w:r>
        <w:rPr>
          <w:bCs/>
          <w:b/>
        </w:rPr>
        <w:t xml:space="preserve">Qualitative Research:</w:t>
      </w:r>
      <w:r>
        <w:t xml:space="preserve"> </w:t>
      </w:r>
      <w:r>
        <w:t xml:space="preserve">Semi-structured interviews with 50 Ophthalmologists across Frankfurt’s major hospitals (e.g., University Hospital Frankfurt) and private practices to explore workflow challenges.</w:t>
      </w:r>
    </w:p>
    <w:p>
      <w:pPr>
        <w:numPr>
          <w:ilvl w:val="0"/>
          <w:numId w:val="1002"/>
        </w:numPr>
        <w:pStyle w:val="Compact"/>
      </w:pPr>
      <w:r>
        <w:rPr>
          <w:bCs/>
          <w:b/>
        </w:rPr>
        <w:t xml:space="preserve">Patient Survey:</w:t>
      </w:r>
      <w:r>
        <w:t xml:space="preserve"> </w:t>
      </w:r>
      <w:r>
        <w:t xml:space="preserve">Administer multilingual surveys (German, Arabic, Turkish) to 300 patients from diverse clinics, assessing accessibility pain points.</w:t>
      </w:r>
    </w:p>
    <w:p>
      <w:pPr>
        <w:pStyle w:val="FirstParagraph"/>
      </w:pPr>
      <w:r>
        <w:t xml:space="preserve">Data will be analyzed using SPSS for statistical correlation and thematic analysis for interview insights. Ethical approval will be sought through Goethe University Frankfurt's IRB.</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delivers actionable value to Germany Frankfurt’s healthcare landscape:</w:t>
      </w:r>
    </w:p>
    <w:p>
      <w:pPr>
        <w:numPr>
          <w:ilvl w:val="0"/>
          <w:numId w:val="1003"/>
        </w:numPr>
        <w:pStyle w:val="Compact"/>
      </w:pPr>
      <w:r>
        <w:rPr>
          <w:bCs/>
          <w:b/>
        </w:rPr>
        <w:t xml:space="preserve">For Ophthalmologists:</w:t>
      </w:r>
      <w:r>
        <w:t xml:space="preserve"> </w:t>
      </w:r>
      <w:r>
        <w:t xml:space="preserve">Practical frameworks for optimizing technology integration—reducing administrative burden by 30% (projected) and enhancing diagnostic accuracy via AI tools validated in Frankfurt's demographic context.</w:t>
      </w:r>
    </w:p>
    <w:p>
      <w:pPr>
        <w:numPr>
          <w:ilvl w:val="0"/>
          <w:numId w:val="1003"/>
        </w:numPr>
        <w:pStyle w:val="Compact"/>
      </w:pPr>
      <w:r>
        <w:rPr>
          <w:bCs/>
          <w:b/>
        </w:rPr>
        <w:t xml:space="preserve">For Healthcare Policy:</w:t>
      </w:r>
      <w:r>
        <w:t xml:space="preserve"> </w:t>
      </w:r>
      <w:r>
        <w:t xml:space="preserve">Evidence to guide Frankfurt City Council’s upcoming "Digital Health Strategy 2030," specifically addressing Ophthalmologist resource allocation and telemedicine reimbursement models under German law.</w:t>
      </w:r>
    </w:p>
    <w:p>
      <w:pPr>
        <w:numPr>
          <w:ilvl w:val="0"/>
          <w:numId w:val="1003"/>
        </w:numPr>
        <w:pStyle w:val="Compact"/>
      </w:pPr>
      <w:r>
        <w:rPr>
          <w:bCs/>
          <w:b/>
        </w:rPr>
        <w:t xml:space="preserve">For Academic Community:</w:t>
      </w:r>
      <w:r>
        <w:t xml:space="preserve"> </w:t>
      </w:r>
      <w:r>
        <w:t xml:space="preserve">A replicable model for studying specialty-specific tech adoption in urban German centers, filling a void in health services research.</w:t>
      </w:r>
    </w:p>
    <w:p>
      <w:pPr>
        <w:pStyle w:val="FirstParagraph"/>
      </w:pPr>
      <w:r>
        <w:t xml:space="preserve">The findings will directly empower the Ophthalmologist to transition from reactive care to proactive population management—a necessity as Frankfurt's eye disease burden (e.g., diabetic retinopathy) rises with its aging and immigrant populations.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Ethics Approval</w:t>
      </w:r>
    </w:p>
    <w:p>
      <w:pPr>
        <w:pStyle w:val="BodyText"/>
      </w:pPr>
      <w:r>
        <w:t xml:space="preserve">✓</w:t>
      </w:r>
    </w:p>
    <w:p>
      <w:pPr>
        <w:pStyle w:val="BodyText"/>
      </w:pPr>
      <w:r>
        <w:t xml:space="preserve">Quantitative Analysis &amp; Interviews</w:t>
      </w:r>
    </w:p>
    <w:p>
      <w:pPr>
        <w:pStyle w:val="BodyText"/>
      </w:pPr>
      <w:r>
        <w:t xml:space="preserve">&lt;</w:t>
      </w:r>
    </w:p>
    <w:p>
      <w:pPr>
        <w:pStyle w:val="BodyText"/>
      </w:pPr>
      <w:r>
        <w:rPr>
          <w:bCs/>
          <w:b/>
        </w:rPr>
        <w:t xml:space="preserve">✓</w:t>
      </w:r>
    </w:p>
    <w:p>
      <w:pPr>
        <w:pStyle w:val="BodyText"/>
      </w:pPr>
      <w:r>
        <w:t xml:space="preserve">✓</w:t>
      </w:r>
    </w:p>
    <w:p>
      <w:pPr>
        <w:pStyle w:val="BodyText"/>
      </w:pPr>
      <w:r>
        <w:t xml:space="preserve">Patient Survey &amp; Thematic Coding</w:t>
      </w:r>
    </w:p>
    <w:p>
      <w:pPr>
        <w:pStyle w:val="BodyText"/>
      </w:pPr>
      <w:r>
        <w:rPr>
          <w:bCs/>
          <w:b/>
        </w:rPr>
        <w:t xml:space="preserve">✓</w:t>
      </w:r>
    </w:p>
    <w:p>
      <w:pPr>
        <w:pStyle w:val="BodyText"/>
      </w:pPr>
      <w:r>
        <w:t xml:space="preserve">✓</w:t>
      </w:r>
    </w:p>
    <w:p>
      <w:pPr>
        <w:pStyle w:val="BodyText"/>
      </w:pPr>
      <w:r>
        <w:t xml:space="preserve">Dissertation Writing &amp; Policy Briefing</w:t>
      </w:r>
    </w:p>
    <w:p>
      <w:pPr>
        <w:pStyle w:val="BodyText"/>
      </w:pPr>
      <w:r>
        <w:t xml:space="preserve">✓ (Final Phase)</w:t>
      </w:r>
    </w:p>
    <w:bookmarkEnd w:id="26"/>
    <w:bookmarkStart w:id="27" w:name="conclusion"/>
    <w:p>
      <w:pPr>
        <w:pStyle w:val="Heading2"/>
      </w:pPr>
      <w:r>
        <w:t xml:space="preserve">8. Conclusion</w:t>
      </w:r>
    </w:p>
    <w:p>
      <w:pPr>
        <w:pStyle w:val="FirstParagraph"/>
      </w:pPr>
      <w:r>
        <w:t xml:space="preserve">The escalating demand for specialized ophthalmological care in Germany Frankfurt necessitates urgent, evidence-based solutions. This Thesis Proposal pioneers an investigation into the nexus of technology, physician efficiency, and patient equity—specifically within the Ophthalmologist’s operational environment in this dynamic city. By grounding analysis in Frankfurt's unique socio-geographic reality (e.g., EU migration corridors, high-density urban challenges), the research transcends generic European studies to deliver hyperlocal insights. The outcomes will position Germany Frankfurt as a model for integrating cutting-edge ophthalmology within a digital health framework, ensuring that every Ophthalmologist operates at peak capacity to serve an increasingly diverse community. Ultimately, this Thesis Proposal is not merely academic—it is a roadmap for transforming how eye care is delivered in one of Europe’s most vital cities, ensuring no patient waits unnecessarily while the Ophthalmologist harnesses innovation for optimal outcomes.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Germany Frankfurt</dc:title>
  <dc:creator/>
  <dc:language>en</dc:language>
  <cp:keywords/>
  <dcterms:created xsi:type="dcterms:W3CDTF">2026-07-21T03:10:44Z</dcterms:created>
  <dcterms:modified xsi:type="dcterms:W3CDTF">2026-07-21T03:10:44Z</dcterms:modified>
</cp:coreProperties>
</file>

<file path=docProps/custom.xml><?xml version="1.0" encoding="utf-8"?>
<Properties xmlns="http://schemas.openxmlformats.org/officeDocument/2006/custom-properties" xmlns:vt="http://schemas.openxmlformats.org/officeDocument/2006/docPropsVTypes"/>
</file>