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Germany</w:t>
      </w:r>
      <w:r>
        <w:t xml:space="preserve"> </w:t>
      </w:r>
      <w:r>
        <w:t xml:space="preserve">Munich</w:t>
      </w:r>
    </w:p>
    <w:bookmarkStart w:id="20" w:name="X1b87cc9597400930a17d5529b7dbb1b3acc1c56"/>
    <w:p>
      <w:pPr>
        <w:pStyle w:val="Heading1"/>
      </w:pPr>
      <w:r>
        <w:t xml:space="preserve">Thesis Proposal: Innovations in Ophthalmological Practice and Research at the Heart of Germany Munich</w:t>
      </w:r>
    </w:p>
    <w:p>
      <w:pPr>
        <w:pStyle w:val="FirstParagraph"/>
      </w:pPr>
      <w:r>
        <w:rPr>
          <w:bCs/>
          <w:b/>
        </w:rPr>
        <w:t xml:space="preserve">Introduction and Context:</w:t>
      </w:r>
    </w:p>
    <w:p>
      <w:pPr>
        <w:pStyle w:val="BodyText"/>
      </w:pPr>
      <w:r>
        <w:t xml:space="preserve">The field of ophthalmology stands at a critical juncture in modern healthcare, with demographic shifts accelerating age-related eye diseases across Europe. This Thesis Proposal outlines a comprehensive research agenda addressing this urgent need, specifically designed for implementation within the prestigious medical ecosystem of Germany Munich. As an aspiring Ophthalmologist preparing to contribute to Munich's renowned healthcare infrastructure, this thesis aims to bridge cutting-edge clinical research with practical solutions tailored for the German healthcare context. With Munich serving as a global hub for medical innovation and home to institutions like LMU University Hospital and the Center for Ophthalmology, this research will directly impact patient care in one of Europe's most advanced medical environments. The proposal emphasizes how an Ophthalmologist in Germany Munich must navigate both clinical excellence and research-driven innovation to meet rising demand.</w:t>
      </w:r>
    </w:p>
    <w:p>
      <w:pPr>
        <w:pStyle w:val="BodyText"/>
      </w:pPr>
      <w:r>
        <w:rPr>
          <w:bCs/>
          <w:b/>
        </w:rPr>
        <w:t xml:space="preserve">Problem Statement:</w:t>
      </w:r>
    </w:p>
    <w:p>
      <w:pPr>
        <w:pStyle w:val="BodyText"/>
      </w:pPr>
      <w:r>
        <w:t xml:space="preserve">Germany faces a significant challenge in ophthalmological care, with projections indicating a 40% increase in age-related macular degeneration (AMD) cases by 2035. Munich, as a major urban center with an aging population, exemplifies this strain. Current treatment protocols remain fragmented across primary and specialized care networks. A critical gap exists between academic research and frontline clinical practice—particularly within the German statutory health insurance framework—where innovative therapies often experience delayed adoption. This Thesis Proposal addresses this disconnect by developing a standardized diagnostic pathway specifically validated for use in Germany Munich, ensuring seamless integration with existing healthcare structures while adhering to stringent German medical regulations.</w:t>
      </w:r>
    </w:p>
    <w:p>
      <w:pPr>
        <w:pStyle w:val="BodyText"/>
      </w:pPr>
      <w:r>
        <w:rPr>
          <w:bCs/>
          <w:b/>
        </w:rPr>
        <w:t xml:space="preserve">Research Objectives:</w:t>
      </w:r>
    </w:p>
    <w:p>
      <w:pPr>
        <w:numPr>
          <w:ilvl w:val="0"/>
          <w:numId w:val="1001"/>
        </w:numPr>
        <w:pStyle w:val="Compact"/>
      </w:pPr>
      <w:r>
        <w:t xml:space="preserve">To design and implement a telemedicine-integrated AMD screening protocol optimized for German healthcare workflows</w:t>
      </w:r>
    </w:p>
    <w:p>
      <w:pPr>
        <w:numPr>
          <w:ilvl w:val="0"/>
          <w:numId w:val="1001"/>
        </w:numPr>
        <w:pStyle w:val="Compact"/>
      </w:pPr>
      <w:r>
        <w:t xml:space="preserve">To evaluate the economic impact of early intervention strategies within Munich's hospital network using real-world data from Bavarian health insurance records</w:t>
      </w:r>
    </w:p>
    <w:p>
      <w:pPr>
        <w:numPr>
          <w:ilvl w:val="0"/>
          <w:numId w:val="1001"/>
        </w:numPr>
        <w:pStyle w:val="Compact"/>
      </w:pPr>
      <w:r>
        <w:t xml:space="preserve">To develop culturally sensitive patient education materials aligned with German health literacy standards and language preferences</w:t>
      </w:r>
    </w:p>
    <w:p>
      <w:pPr>
        <w:numPr>
          <w:ilvl w:val="0"/>
          <w:numId w:val="1001"/>
        </w:numPr>
        <w:pStyle w:val="Compact"/>
      </w:pPr>
      <w:r>
        <w:t xml:space="preserve">To establish a collaborative research framework between Munich-based ophthalmology departments, university clinics, and industry partners</w:t>
      </w:r>
    </w:p>
    <w:p>
      <w:pPr>
        <w:pStyle w:val="FirstParagraph"/>
      </w:pPr>
      <w:r>
        <w:rPr>
          <w:bCs/>
          <w:b/>
        </w:rPr>
        <w:t xml:space="preserve">Methodology:</w:t>
      </w:r>
    </w:p>
    <w:p>
      <w:pPr>
        <w:pStyle w:val="BodyText"/>
      </w:pPr>
      <w:r>
        <w:t xml:space="preserve">This mixed-methods study will employ three interconnected phases over 24 months. Phase One involves qualitative analysis of current clinical practices across five Munich hospitals (including Klinikum Grosshadern and Augenklinik München) through structured interviews with 15 Ophthalmologists and 30 healthcare administrators. Phase Two deploys a prospective cohort study tracking 400 newly diagnosed AMD patients using AI-driven retinal imaging tools validated against German regulatory standards (CE marking). Crucially, this phase incorporates data from Munich's electronic health record system (e.g., SAP) to ensure real-world applicability. Phase Three utilizes cost-effectiveness modeling adapted to the German DRG reimbursement system, with outcomes benchmarked against national ophthalmological quality indicators.</w:t>
      </w:r>
    </w:p>
    <w:p>
      <w:pPr>
        <w:pStyle w:val="BodyText"/>
      </w:pPr>
      <w:r>
        <w:rPr>
          <w:bCs/>
          <w:b/>
        </w:rPr>
        <w:t xml:space="preserve">Significance for Germany Munich:</w:t>
      </w:r>
    </w:p>
    <w:p>
      <w:pPr>
        <w:pStyle w:val="BodyText"/>
      </w:pPr>
      <w:r>
        <w:t xml:space="preserve">This Thesis Proposal delivers immediate value for Germany Munich's healthcare landscape. By focusing on local implementation challenges—such as interoperability between hospital systems and German billing codes (G-DRG)—the research directly supports Munich's strategic health initiative "Munich 2030: Health Innovation Hub." The proposed telemedicine platform will integrate with Munich's existing digital health infrastructure, including the Bavarian Health Data Network. For an Ophthalmologist practicing in Germany Munich, this work offers a blueprint for evidence-based practice that enhances both clinical outcomes and resource efficiency. Furthermore, the patient education module addresses linguistic diversity within Munich's immigrant communities (32% of population), aligning with Bavaria's multicultural healthcare strategy.</w:t>
      </w:r>
    </w:p>
    <w:p>
      <w:pPr>
        <w:pStyle w:val="BodyText"/>
      </w:pPr>
      <w:r>
        <w:rPr>
          <w:bCs/>
          <w:b/>
        </w:rPr>
        <w:t xml:space="preserve">Comparative Advantage:</w:t>
      </w:r>
    </w:p>
    <w:p>
      <w:pPr>
        <w:pStyle w:val="BodyText"/>
      </w:pPr>
      <w:r>
        <w:t xml:space="preserve">Unlike generic ophthalmology studies, this Thesis Proposal uniquely positions itself within Germany Munich's ecosystem. While similar research exists in London or Paris, Munich offers distinct advantages: its integrated healthcare financing model (with Bavaria's strong public health infrastructure), world-class academic institutions (like the Ludwig Maximilian University), and industry partners such as Carl Zeiss Meditec. This context allows for unprecedented real-world testing of protocols under German regulatory conditions—a critical differentiator absent in many international studies. The proposed collaboration with the Institute for Medical Informatics at LMU Munich ensures methodological rigor aligned with German research standards.</w:t>
      </w:r>
    </w:p>
    <w:p>
      <w:pPr>
        <w:pStyle w:val="BodyText"/>
      </w:pPr>
      <w:r>
        <w:rPr>
          <w:bCs/>
          <w:b/>
        </w:rPr>
        <w:t xml:space="preserve">Expected Outcomes:</w:t>
      </w:r>
    </w:p>
    <w:p>
      <w:pPr>
        <w:pStyle w:val="BodyText"/>
      </w:pPr>
      <w:r>
        <w:t xml:space="preserve">The Thesis Proposal anticipates four key deliverables: (1) A validated AMD diagnostic protocol approved by the Bavarian Medical Association, (2) A cost-benefit analysis demonstrating 23% reduced long-term treatment costs for Munich hospitals, (3) Patient engagement tools adopted by three major Munich clinics, and (4) A framework for sustainable research-practice integration applicable across Germany. These outcomes directly support the German government's "Digital Health Strategy 2025" and position an Ophthalmologist in Germany Munich as a leader in translational medical innovation. The thesis will be submitted to the University of Munich's Faculty of Medicine, with findings presented at the German Ophthalmological Society (DOG) annual conference—ensuring immediate relevance to the local professional community.</w:t>
      </w:r>
    </w:p>
    <w:p>
      <w:pPr>
        <w:pStyle w:val="BodyText"/>
      </w:pPr>
      <w:r>
        <w:rPr>
          <w:bCs/>
          <w:b/>
        </w:rPr>
        <w:t xml:space="preserve">Timeline and Feasibility:</w:t>
      </w:r>
    </w:p>
    <w:p>
      <w:pPr>
        <w:pStyle w:val="BodyText"/>
      </w:pPr>
      <w:r>
        <w:t xml:space="preserve">Conducted within Munich's academic infrastructure, the project leverages established partnerships: Phase 1 (Months 1-6) utilizes LMU’s ethics approval process; Phase 2 (Months 7-18) accesses patient data via Munich Hospital Network agreements; Phase 3 (Months 19-24) collaborates with Bavarian Health Ministry for policy translation. Resource requirements include €50,000 for imaging equipment rental and €15,000 for patient recruitment—both secured through Munich-based funding schemes like the "Bavarian Research Initiative." The project's feasibility is underscored by the candidate’s existing clinical placement at Augenklinik München and formal research agreement with LMU.</w:t>
      </w:r>
    </w:p>
    <w:p>
      <w:pPr>
        <w:pStyle w:val="BodyText"/>
      </w:pPr>
      <w:r>
        <w:rPr>
          <w:bCs/>
          <w:b/>
        </w:rPr>
        <w:t xml:space="preserve">Conclusion:</w:t>
      </w:r>
    </w:p>
    <w:p>
      <w:pPr>
        <w:pStyle w:val="BodyText"/>
      </w:pPr>
      <w:r>
        <w:t xml:space="preserve">This Thesis Proposal represents a pivotal contribution to ophthalmological advancement within Germany Munich. It transcends theoretical research by embedding solutions in Munich's unique healthcare fabric—from regulatory compliance to cultural context. As the demand for specialized Ophthalmologist services grows in Bavaria, this work establishes a replicable model for how clinical innovation can be systematically implemented. For an emerging Ophthalmologist committed to Germany Munich, this thesis provides not only academic rigor but also practical tools to enhance patient care across the city’s healthcare landscape. The successful completion of this Thesis Proposal will position its author as a critical asset in Munich’s ongoing mission to lead European ophthalmic excellence, ultimately transforming how eye disease is managed for generations of patients in Germany.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Germany Munich</dc:title>
  <dc:creator/>
  <dc:language>en</dc:language>
  <cp:keywords/>
  <dcterms:created xsi:type="dcterms:W3CDTF">2026-05-02T02:26:28Z</dcterms:created>
  <dcterms:modified xsi:type="dcterms:W3CDTF">2026-05-02T02:26:28Z</dcterms:modified>
</cp:coreProperties>
</file>

<file path=docProps/custom.xml><?xml version="1.0" encoding="utf-8"?>
<Properties xmlns="http://schemas.openxmlformats.org/officeDocument/2006/custom-properties" xmlns:vt="http://schemas.openxmlformats.org/officeDocument/2006/docPropsVTypes"/>
</file>