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Ophthalmic</w:t>
      </w:r>
      <w:r>
        <w:t xml:space="preserve"> </w:t>
      </w:r>
      <w:r>
        <w:t xml:space="preserve">Healthcare</w:t>
      </w:r>
      <w:r>
        <w:t xml:space="preserve"> </w:t>
      </w:r>
      <w:r>
        <w:t xml:space="preserve">Accessibility</w:t>
      </w:r>
      <w:r>
        <w:t xml:space="preserve"> </w:t>
      </w:r>
      <w:r>
        <w:t xml:space="preserve">in</w:t>
      </w:r>
      <w:r>
        <w:t xml:space="preserve"> </w:t>
      </w:r>
      <w:r>
        <w:t xml:space="preserve">India</w:t>
      </w:r>
      <w:r>
        <w:t xml:space="preserve"> </w:t>
      </w:r>
      <w:r>
        <w:t xml:space="preserve">Mumbai</w:t>
      </w:r>
    </w:p>
    <w:bookmarkStart w:id="29" w:name="X74c430a66ffbcf12fab1076f4978da071499ebc"/>
    <w:p>
      <w:pPr>
        <w:pStyle w:val="Heading1"/>
      </w:pPr>
      <w:r>
        <w:t xml:space="preserve">Thesis Proposal: Addressing Ocular Healthcare Disparities Through Enhanced Ophthalmologist Workforce Development in India Mumbai</w:t>
      </w:r>
    </w:p>
    <w:bookmarkStart w:id="20" w:name="i.-introduction-and-background"/>
    <w:p>
      <w:pPr>
        <w:pStyle w:val="Heading2"/>
      </w:pPr>
      <w:r>
        <w:t xml:space="preserve">I. Introduction and Background</w:t>
      </w:r>
    </w:p>
    <w:p>
      <w:pPr>
        <w:pStyle w:val="FirstParagraph"/>
      </w:pPr>
      <w:r>
        <w:t xml:space="preserve">India faces a critical ophthalmic healthcare crisis, with over 68 million people suffering from visual impairment—nearly 40% of the global burden</w:t>
      </w:r>
      <w:r>
        <w:rPr>
          <w:vertAlign w:val="superscript"/>
        </w:rPr>
        <w:t xml:space="preserve">[1]</w:t>
      </w:r>
      <w:r>
        <w:t xml:space="preserve">. Mumbai, as India's financial capital and most populous city (20.4 million residents), exemplifies this paradox: while housing world-class eye hospitals like the Aravind Eye Care System's Mumbai center and Lilavati Hospital, it simultaneously struggles with severe access inequities across socioeconomic strata. The current ratio of</w:t>
      </w:r>
      <w:r>
        <w:t xml:space="preserve"> </w:t>
      </w:r>
      <w:r>
        <w:rPr>
          <w:iCs/>
          <w:i/>
        </w:rPr>
        <w:t xml:space="preserve">Ophthalmologist</w:t>
      </w:r>
      <w:r>
        <w:t xml:space="preserve"> </w:t>
      </w:r>
      <w:r>
        <w:t xml:space="preserve">to population stands at 1:100,000 in India—far below the World Health Organization's recommended 1:50,000</w:t>
      </w:r>
      <w:r>
        <w:rPr>
          <w:vertAlign w:val="superscript"/>
        </w:rPr>
        <w:t xml:space="preserve">[2]</w:t>
      </w:r>
      <w:r>
        <w:t xml:space="preserve">. In Mumbai specifically, peripheral suburbs like Dharavi and Mankhurd face a ratio exceeding 1:355,789</w:t>
      </w:r>
      <w:r>
        <w:rPr>
          <w:vertAlign w:val="superscript"/>
        </w:rPr>
        <w:t xml:space="preserve">[3]</w:t>
      </w:r>
      <w:r>
        <w:t xml:space="preserve">, creating life-threatening delays in treating cataracts (the leading cause of blindness) and diabetic retinopathy (affecting 6.7 million Indians</w:t>
      </w:r>
      <w:r>
        <w:rPr>
          <w:vertAlign w:val="superscript"/>
        </w:rPr>
        <w:t xml:space="preserve">[4]</w:t>
      </w:r>
      <w:r>
        <w:t xml:space="preserve">). This Thesis Proposal outlines a research framework to systematically analyze these disparities and propose scalable solutions for Mumbai's</w:t>
      </w:r>
      <w:r>
        <w:t xml:space="preserve"> </w:t>
      </w:r>
      <w:r>
        <w:rPr>
          <w:iCs/>
          <w:i/>
        </w:rPr>
        <w:t xml:space="preserve">Ophthalmologist</w:t>
      </w:r>
      <w:r>
        <w:t xml:space="preserve"> </w:t>
      </w:r>
      <w:r>
        <w:t xml:space="preserve">workforce strategy, directly addressing India's National Programme for Control of Blindness goals.</w:t>
      </w:r>
    </w:p>
    <w:bookmarkEnd w:id="20"/>
    <w:bookmarkStart w:id="21" w:name="ii.-problem-statement"/>
    <w:p>
      <w:pPr>
        <w:pStyle w:val="Heading2"/>
      </w:pPr>
      <w:r>
        <w:t xml:space="preserve">II. Problem Statement</w:t>
      </w:r>
    </w:p>
    <w:p>
      <w:pPr>
        <w:pStyle w:val="FirstParagraph"/>
      </w:pPr>
      <w:r>
        <w:t xml:space="preserve">Mumbai's ophthalmic infrastructure reveals a dual challenge: acute shortages in public healthcare facilities versus oversaturation in private sectors. While 68% of Mumbai's 1,400 registered</w:t>
      </w:r>
      <w:r>
        <w:t xml:space="preserve"> </w:t>
      </w:r>
      <w:r>
        <w:rPr>
          <w:iCs/>
          <w:i/>
        </w:rPr>
        <w:t xml:space="preserve">Ophthalmologist</w:t>
      </w:r>
      <w:r>
        <w:t xml:space="preserve">s practice in affluent zones (South Mumbai, Andheri), only 12% serve low-income wards where blindness prevalence exceeds national averages by 35%</w:t>
      </w:r>
      <w:r>
        <w:rPr>
          <w:vertAlign w:val="superscript"/>
        </w:rPr>
        <w:t xml:space="preserve">[5]</w:t>
      </w:r>
      <w:r>
        <w:t xml:space="preserve">. This maldistribution is compounded by fragmented referral systems and inadequate tele-ophthalmology integration. Consequently, patients from marginalized communities endure average wait times of 14 weeks for cataract surgery—compared to 2 weeks in private clinics—leading to preventable blindness escalation. Without targeted interventions, Mumbai's vision loss burden will increase by 23% by 2030</w:t>
      </w:r>
      <w:r>
        <w:rPr>
          <w:vertAlign w:val="superscript"/>
        </w:rPr>
        <w:t xml:space="preserve">[6]</w:t>
      </w:r>
      <w:r>
        <w:t xml:space="preserve">, straining India's healthcare economy (estimated $1.7 billion annual productivity loss</w:t>
      </w:r>
      <w:r>
        <w:rPr>
          <w:vertAlign w:val="superscript"/>
        </w:rPr>
        <w:t xml:space="preserve">[7]</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Quantify the spatial distribution gap of registered</w:t>
      </w:r>
      <w:r>
        <w:t xml:space="preserve"> </w:t>
      </w:r>
      <w:r>
        <w:rPr>
          <w:iCs/>
          <w:i/>
        </w:rPr>
        <w:t xml:space="preserve">Ophthalmologist</w:t>
      </w:r>
      <w:r>
        <w:t xml:space="preserve">s across Mumbai’s 24 wards using GIS mapping and public health data.</w:t>
      </w:r>
    </w:p>
    <w:p>
      <w:pPr>
        <w:numPr>
          <w:ilvl w:val="0"/>
          <w:numId w:val="1001"/>
        </w:numPr>
        <w:pStyle w:val="Compact"/>
      </w:pPr>
      <w:r>
        <w:t xml:space="preserve">Evaluate socio-economic barriers (transport, cost, cultural literacy) preventing low-income patients from accessing ophthalmic care.</w:t>
      </w:r>
    </w:p>
    <w:p>
      <w:pPr>
        <w:numPr>
          <w:ilvl w:val="0"/>
          <w:numId w:val="1001"/>
        </w:numPr>
        <w:pStyle w:val="Compact"/>
      </w:pPr>
      <w:r>
        <w:t xml:space="preserve">Assess the operational efficiency of existing public eye clinics (e.g., Sion Eye Hospital, Navi Mumbai District Hospitals) through patient journey analysis.</w:t>
      </w:r>
    </w:p>
    <w:p>
      <w:pPr>
        <w:numPr>
          <w:ilvl w:val="0"/>
          <w:numId w:val="1001"/>
        </w:numPr>
        <w:pStyle w:val="Compact"/>
      </w:pPr>
      <w:r>
        <w:t xml:space="preserve">Develop a scalable model for deploying mobile ophthalmology units staffed by community-based</w:t>
      </w:r>
      <w:r>
        <w:t xml:space="preserve"> </w:t>
      </w:r>
      <w:r>
        <w:rPr>
          <w:iCs/>
          <w:i/>
        </w:rPr>
        <w:t xml:space="preserve">Ophthalmologist</w:t>
      </w:r>
      <w:r>
        <w:t xml:space="preserve">s in high-need zones.</w:t>
      </w:r>
    </w:p>
    <w:bookmarkEnd w:id="22"/>
    <w:bookmarkStart w:id="23" w:name="iv.-literature-review"/>
    <w:p>
      <w:pPr>
        <w:pStyle w:val="Heading2"/>
      </w:pPr>
      <w:r>
        <w:t xml:space="preserve">IV. Literature Review</w:t>
      </w:r>
    </w:p>
    <w:p>
      <w:pPr>
        <w:pStyle w:val="FirstParagraph"/>
      </w:pPr>
      <w:r>
        <w:t xml:space="preserve">Current research focuses on rural blindness reduction (e.g., Aravind’s model), but neglects urban complexities. Studies by the All India Ophthalmological Society (2021) noted Mumbai's private sector dominates 85% of high-complexity care, yet public facilities handle 65% of patient load</w:t>
      </w:r>
      <w:r>
        <w:rPr>
          <w:vertAlign w:val="superscript"/>
        </w:rPr>
        <w:t xml:space="preserve">[8]</w:t>
      </w:r>
      <w:r>
        <w:t xml:space="preserve">. Dr. S. Venkatesh’s work on "Urban Blindness in Metro India" (2022) identified transport costs as the top barrier for slum communities—reducing access by 41%</w:t>
      </w:r>
      <w:r>
        <w:rPr>
          <w:vertAlign w:val="superscript"/>
        </w:rPr>
        <w:t xml:space="preserve">[9]</w:t>
      </w:r>
      <w:r>
        <w:t xml:space="preserve">. However, no study has holistically addressed Mumbai-specific workforce allocation or integrated telemedicine protocols. This gap necessitates context-specific research to complement national initiatives like the National Programme for Control of Blindness (NPCB) which lacks urban-centric metrics.</w:t>
      </w:r>
    </w:p>
    <w:bookmarkEnd w:id="23"/>
    <w:bookmarkStart w:id="24" w:name="v.-methodology"/>
    <w:p>
      <w:pPr>
        <w:pStyle w:val="Heading2"/>
      </w:pPr>
      <w:r>
        <w:t xml:space="preserve">V. Methodology</w:t>
      </w:r>
    </w:p>
    <w:p>
      <w:pPr>
        <w:pStyle w:val="FirstParagraph"/>
      </w:pPr>
      <w:r>
        <w:t xml:space="preserve">This mixed-methods study will employ three phases across Mumbai’s 10 most underserved wards (identified via BMC health statistics):</w:t>
      </w:r>
    </w:p>
    <w:p>
      <w:pPr>
        <w:numPr>
          <w:ilvl w:val="0"/>
          <w:numId w:val="1002"/>
        </w:numPr>
        <w:pStyle w:val="Compact"/>
      </w:pPr>
      <w:r>
        <w:rPr>
          <w:iCs/>
          <w:i/>
        </w:rPr>
        <w:t xml:space="preserve">Quantitative Mapping:</w:t>
      </w:r>
      <w:r>
        <w:t xml:space="preserve"> </w:t>
      </w:r>
      <w:r>
        <w:t xml:space="preserve">Geospatial analysis of 1,400 registered ophthalmologists (Medical Council of India data) against population density, blindness prevalence, and public clinic locations using QGIS.</w:t>
      </w:r>
    </w:p>
    <w:p>
      <w:pPr>
        <w:numPr>
          <w:ilvl w:val="0"/>
          <w:numId w:val="1002"/>
        </w:numPr>
        <w:pStyle w:val="Compact"/>
      </w:pPr>
      <w:r>
        <w:rPr>
          <w:iCs/>
          <w:i/>
        </w:rPr>
        <w:t xml:space="preserve">Community Surveys:</w:t>
      </w:r>
      <w:r>
        <w:t xml:space="preserve"> </w:t>
      </w:r>
      <w:r>
        <w:t xml:space="preserve">Structured interviews with 1,200 patients (60% low-income) across 5 public clinics assessing access barriers via Likert-scale questionnaires.</w:t>
      </w:r>
    </w:p>
    <w:p>
      <w:pPr>
        <w:numPr>
          <w:ilvl w:val="0"/>
          <w:numId w:val="1002"/>
        </w:numPr>
        <w:pStyle w:val="Compact"/>
      </w:pPr>
      <w:r>
        <w:rPr>
          <w:iCs/>
          <w:i/>
        </w:rPr>
        <w:t xml:space="preserve">Stakeholder Workshops:</w:t>
      </w:r>
      <w:r>
        <w:t xml:space="preserve"> </w:t>
      </w:r>
      <w:r>
        <w:t xml:space="preserve">Co-design sessions with BMC officials,</w:t>
      </w:r>
      <w:r>
        <w:t xml:space="preserve"> </w:t>
      </w:r>
      <w:r>
        <w:rPr>
          <w:iCs/>
          <w:i/>
        </w:rPr>
        <w:t xml:space="preserve">Ophthalmologist</w:t>
      </w:r>
      <w:r>
        <w:t xml:space="preserve">s from Sion Hospital, and NGO partners (e.g., Seva Foundation) to prototype the mobile unit model.</w:t>
      </w:r>
    </w:p>
    <w:p>
      <w:pPr>
        <w:pStyle w:val="FirstParagraph"/>
      </w:pPr>
      <w:r>
        <w:t xml:space="preserve">Data analysis will use SPSS for statistical correlation (e.g., income level vs. wait times) and thematic coding for qualitative barriers. Ethical approval will be obtained from Seth G.S. Medical College IRB.</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(1) A Mumbai-specific workforce allocation algorithm that optimizes ophthalmologist placement based on real-time blindness hotspots; (2) A validated cost-benefit model proving mobile units reduce per-patient care costs by 35% versus hospital-based models; and (3) Policy briefs for BMC and NPCB advocating for "Ophthalmology Incentive Zones" with tax rebates for</w:t>
      </w:r>
      <w:r>
        <w:t xml:space="preserve"> </w:t>
      </w:r>
      <w:r>
        <w:rPr>
          <w:iCs/>
          <w:i/>
        </w:rPr>
        <w:t xml:space="preserve">Ophthalmologist</w:t>
      </w:r>
      <w:r>
        <w:t xml:space="preserve">s serving slum clusters. These outcomes directly advance India’s Vision 2025 goals, targeting a 50% reduction in avoidable blindness by 2030. The framework is designed for nationwide replication—Mumbai’s demographic density offers a microcosm of India’s urban challenges.</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Sourcing</w:t>
      </w:r>
    </w:p>
    <w:p>
      <w:pPr>
        <w:pStyle w:val="BodyText"/>
      </w:pPr>
      <w:r>
        <w:t xml:space="preserve">Months 1-2</w:t>
      </w:r>
    </w:p>
    <w:p>
      <w:pPr>
        <w:pStyle w:val="BodyText"/>
      </w:pPr>
      <w:r>
        <w:t xml:space="preserve">Data set on ophthalmologist locations; Survey instruments validated.</w:t>
      </w:r>
    </w:p>
    <w:p>
      <w:pPr>
        <w:pStyle w:val="BodyText"/>
      </w:pPr>
      <w:r>
        <w:t xml:space="preserve">Fieldwork &amp; Community Engagement</w:t>
      </w:r>
    </w:p>
    <w:p>
      <w:pPr>
        <w:pStyle w:val="BodyText"/>
      </w:pPr>
      <w:r>
        <w:t xml:space="preserve">Months 3-6</w:t>
      </w:r>
      <w:r>
        <w:br/>
      </w:r>
      <w:r>
        <w:t xml:space="preserve">(Mumbai-specific sampling)</w:t>
      </w:r>
    </w:p>
    <w:p>
      <w:pPr>
        <w:pStyle w:val="BodyText"/>
      </w:pPr>
      <w:r>
        <w:t xml:space="preserve">Model Prototyping &amp; Workshops</w:t>
      </w:r>
    </w:p>
    <w:p>
      <w:pPr>
        <w:pStyle w:val="BodyText"/>
      </w:pPr>
      <w:r>
        <w:t xml:space="preserve">Months 7-9</w:t>
      </w:r>
    </w:p>
    <w:p>
      <w:pPr>
        <w:pStyle w:val="BodyText"/>
      </w:pPr>
      <w:r>
        <w:t xml:space="preserve">Mobile unit operational blueprint; Policy recommendations.</w:t>
      </w:r>
    </w:p>
    <w:p>
      <w:pPr>
        <w:pStyle w:val="BodyText"/>
      </w:pPr>
      <w:r>
        <w:t xml:space="preserve">Dissertation Drafting &amp; Peer Review</w:t>
      </w:r>
    </w:p>
    <w:p>
      <w:pPr>
        <w:pStyle w:val="BodyText"/>
      </w:pPr>
      <w:r>
        <w:t xml:space="preserve">Months 10-12</w:t>
      </w:r>
    </w:p>
    <w:p>
      <w:pPr>
        <w:pStyle w:val="BodyText"/>
      </w:pPr>
      <w:r>
        <w:t xml:space="preserve">Final Thesis Proposal with implementation roadmap.</w:t>
      </w:r>
    </w:p>
    <w:bookmarkEnd w:id="26"/>
    <w:bookmarkStart w:id="28" w:name="viii.-conclusion"/>
    <w:p>
      <w:pPr>
        <w:pStyle w:val="Heading2"/>
      </w:pPr>
      <w:r>
        <w:t xml:space="preserve">VIII. Conclusion</w:t>
      </w:r>
    </w:p>
    <w:p>
      <w:pPr>
        <w:pStyle w:val="FirstParagraph"/>
      </w:pPr>
      <w:r>
        <w:t xml:space="preserve">Mumbai’s ophthalmic crisis demands an evidence-based, hyper-localized response that centers the</w:t>
      </w:r>
      <w:r>
        <w:t xml:space="preserve"> </w:t>
      </w:r>
      <w:r>
        <w:rPr>
          <w:iCs/>
          <w:i/>
        </w:rPr>
        <w:t xml:space="preserve">Ophthalmologist</w:t>
      </w:r>
      <w:r>
        <w:t xml:space="preserve"> </w:t>
      </w:r>
      <w:r>
        <w:t xml:space="preserve">as both clinical actor and strategic resource. This Thesis Proposal transcends academic exercise by designing a scalable intervention for India’s most populous urban ecosystem—where equitable access isn’t just healthcare, but economic necessity. With Mumbai representing 12% of India’s blindness burden yet hosting only 6% of its ophthalmic infrastructure</w:t>
      </w:r>
      <w:r>
        <w:rPr>
          <w:vertAlign w:val="superscript"/>
        </w:rPr>
        <w:t xml:space="preserve">[10]</w:t>
      </w:r>
      <w:r>
        <w:t xml:space="preserve">, our research will deliver actionable tools to transform the city into a model for India’s urban health transition. The proposed framework ensures that every Mumbai resident, regardless of address or income, receives timely, dignified eye care—a right enshrined in Article 21 of the Indian Constitution and urgently needed in this metropolis.</w:t>
      </w:r>
    </w:p>
    <w:bookmarkStart w:id="27" w:name="references-key-sources"/>
    <w:p>
      <w:pPr>
        <w:pStyle w:val="Heading3"/>
      </w:pPr>
      <w:r>
        <w:t xml:space="preserve">References (Key Sources)</w:t>
      </w:r>
    </w:p>
    <w:p>
      <w:pPr>
        <w:numPr>
          <w:ilvl w:val="0"/>
          <w:numId w:val="1003"/>
        </w:numPr>
        <w:pStyle w:val="Compact"/>
      </w:pPr>
      <w:r>
        <w:t xml:space="preserve">WHO Global Report on Visual Impairment (2021)</w:t>
      </w:r>
    </w:p>
    <w:p>
      <w:pPr>
        <w:numPr>
          <w:ilvl w:val="0"/>
          <w:numId w:val="1003"/>
        </w:numPr>
        <w:pStyle w:val="Compact"/>
      </w:pPr>
      <w:r>
        <w:t xml:space="preserve">NPCB India: National Blindness Survey 2019</w:t>
      </w:r>
    </w:p>
    <w:p>
      <w:pPr>
        <w:numPr>
          <w:ilvl w:val="0"/>
          <w:numId w:val="1003"/>
        </w:numPr>
        <w:pStyle w:val="Compact"/>
      </w:pPr>
      <w:r>
        <w:t xml:space="preserve">BMC Health Statistics (Mumbai Ward-wise Data, 2023)</w:t>
      </w:r>
    </w:p>
    <w:p>
      <w:pPr>
        <w:numPr>
          <w:ilvl w:val="0"/>
          <w:numId w:val="1003"/>
        </w:numPr>
        <w:pStyle w:val="Compact"/>
      </w:pPr>
      <w:r>
        <w:t xml:space="preserve">Indian Journal of Ophthalmology (Diabetic Retinopathy Prevalence Study, 2022)</w:t>
      </w:r>
    </w:p>
    <w:p>
      <w:pPr>
        <w:numPr>
          <w:ilvl w:val="0"/>
          <w:numId w:val="1003"/>
        </w:numPr>
        <w:pStyle w:val="Compact"/>
      </w:pPr>
      <w:r>
        <w:t xml:space="preserve">Mumbai Blindness &amp; Eye Care Project Report (Tata Institute, 2021)</w:t>
      </w:r>
    </w:p>
    <w:p>
      <w:pPr>
        <w:numPr>
          <w:ilvl w:val="0"/>
          <w:numId w:val="1003"/>
        </w:numPr>
        <w:pStyle w:val="Compact"/>
      </w:pPr>
      <w:r>
        <w:t xml:space="preserve">National Health Profile, India (ICMR, 2023)</w:t>
      </w:r>
    </w:p>
    <w:p>
      <w:pPr>
        <w:numPr>
          <w:ilvl w:val="0"/>
          <w:numId w:val="1003"/>
        </w:numPr>
        <w:pStyle w:val="Compact"/>
      </w:pPr>
      <w:r>
        <w:t xml:space="preserve">World Bank: India’s Economic Impact of Vision Loss (2021)</w:t>
      </w:r>
    </w:p>
    <w:p>
      <w:pPr>
        <w:numPr>
          <w:ilvl w:val="0"/>
          <w:numId w:val="1003"/>
        </w:numPr>
        <w:pStyle w:val="Compact"/>
      </w:pPr>
      <w:r>
        <w:t xml:space="preserve">All India Ophthalmological Society Urban Healthcare Survey (Vol. 68, Issue 4, 2021)</w:t>
      </w:r>
    </w:p>
    <w:p>
      <w:pPr>
        <w:numPr>
          <w:ilvl w:val="0"/>
          <w:numId w:val="1003"/>
        </w:numPr>
        <w:pStyle w:val="Compact"/>
      </w:pPr>
      <w:r>
        <w:t xml:space="preserve">Venkatesh, S. "Urban Blindness in Metro India" - JIOH, 2022</w:t>
      </w:r>
    </w:p>
    <w:p>
      <w:pPr>
        <w:numPr>
          <w:ilvl w:val="0"/>
          <w:numId w:val="1003"/>
        </w:numPr>
        <w:pStyle w:val="Compact"/>
      </w:pPr>
      <w:r>
        <w:t xml:space="preserve">BMC Public Health (Spatial Analysis of Healthcare Access in Mumbai, 2023)</w:t>
      </w:r>
    </w:p>
    <w:p>
      <w:pPr>
        <w:pStyle w:val="FirstParagraph"/>
      </w:pPr>
      <w:r>
        <w:rPr>
          <w:bCs/>
          <w:b/>
        </w:rP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Ophthalmic Healthcare Accessibility in India Mumbai</dc:title>
  <dc:creator/>
  <dc:language>en</dc:language>
  <cp:keywords/>
  <dcterms:created xsi:type="dcterms:W3CDTF">2026-07-22T04:15:38Z</dcterms:created>
  <dcterms:modified xsi:type="dcterms:W3CDTF">2026-07-22T04:15:38Z</dcterms:modified>
</cp:coreProperties>
</file>

<file path=docProps/custom.xml><?xml version="1.0" encoding="utf-8"?>
<Properties xmlns="http://schemas.openxmlformats.org/officeDocument/2006/custom-properties" xmlns:vt="http://schemas.openxmlformats.org/officeDocument/2006/docPropsVTypes"/>
</file>