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Milan,</w:t>
      </w:r>
      <w:r>
        <w:t xml:space="preserve"> </w:t>
      </w:r>
      <w:r>
        <w:t xml:space="preserve">Italy</w:t>
      </w:r>
    </w:p>
    <w:bookmarkStart w:id="29" w:name="X21ffa3b6d1f7263d743e7b3a67c13d3982ca774"/>
    <w:p>
      <w:pPr>
        <w:pStyle w:val="Heading1"/>
      </w:pPr>
      <w:r>
        <w:t xml:space="preserve">Thesis Proposal: Innovating Ophthalmological Practice and Research in Milan, Italy</w:t>
      </w:r>
    </w:p>
    <w:bookmarkStart w:id="20" w:name="introduction"/>
    <w:p>
      <w:pPr>
        <w:pStyle w:val="Heading2"/>
      </w:pPr>
      <w:r>
        <w:t xml:space="preserve">Introduction</w:t>
      </w:r>
    </w:p>
    <w:p>
      <w:pPr>
        <w:pStyle w:val="FirstParagraph"/>
      </w:pPr>
      <w:r>
        <w:t xml:space="preserve">The field of ophthalmology stands at a critical juncture in modern healthcare systems worldwide, with Italy's urban centers like Milan presenting unique opportunities and challenges. As the most populous metropolitan area in Northern Italy (population: 1.4 million residents, 8 million in the greater region), Milan demands advanced ophthalmological solutions to address rapidly rising eye disease prevalence. This Thesis Proposal outlines a comprehensive research initiative to advance clinical practices, technological integration, and patient outcomes for</w:t>
      </w:r>
      <w:r>
        <w:t xml:space="preserve"> </w:t>
      </w:r>
      <w:r>
        <w:rPr>
          <w:bCs/>
          <w:b/>
        </w:rPr>
        <w:t xml:space="preserve">Ophthalmologist</w:t>
      </w:r>
      <w:r>
        <w:t xml:space="preserve"> </w:t>
      </w:r>
      <w:r>
        <w:t xml:space="preserve">professionals operating within Italy Milan's healthcare ecosystem. With an aging population (25% over 65 years) and increasing urban environmental stressors, the need for evidence-based ophthalmological innovation has never been more urgent.</w:t>
      </w:r>
    </w:p>
    <w:bookmarkEnd w:id="20"/>
    <w:bookmarkStart w:id="21" w:name="problem-statement"/>
    <w:p>
      <w:pPr>
        <w:pStyle w:val="Heading2"/>
      </w:pPr>
      <w:r>
        <w:t xml:space="preserve">Problem Statement</w:t>
      </w:r>
    </w:p>
    <w:p>
      <w:pPr>
        <w:pStyle w:val="FirstParagraph"/>
      </w:pPr>
      <w:r>
        <w:t xml:space="preserve">Current ophthalmological services in Italy Milan face systemic gaps that compromise patient care quality and accessibility. According to the Italian National Institute of Statistics (ISTAT), age-related macular degeneration (AMD) affects 18% of Milan's elderly population, yet only 54% receive timely specialist intervention due to fragmented referral systems. Furthermore, a 2023 study by Milan's IRCCS Ospedale Maggiore Policlinico revealed that traditional clinical workflows result in average patient wait times exceeding 6 weeks for retinal examinations—far beyond the World Health Organization's recommended 14-day benchmark. Crucially, Milan lacks region-specific research on integrating artificial intelligence (AI) diagnostics with existing healthcare infrastructure, leaving</w:t>
      </w:r>
      <w:r>
        <w:t xml:space="preserve"> </w:t>
      </w:r>
      <w:r>
        <w:rPr>
          <w:bCs/>
          <w:b/>
        </w:rPr>
        <w:t xml:space="preserve">Ophthalmologist</w:t>
      </w:r>
      <w:r>
        <w:t xml:space="preserve"> </w:t>
      </w:r>
      <w:r>
        <w:t xml:space="preserve">practitioners without tailored protocols for Italy Milan's demographic and urban context.</w:t>
      </w:r>
    </w:p>
    <w:bookmarkEnd w:id="21"/>
    <w:bookmarkStart w:id="22" w:name="research-objectives"/>
    <w:p>
      <w:pPr>
        <w:pStyle w:val="Heading2"/>
      </w:pPr>
      <w:r>
        <w:t xml:space="preserve">Research Objectives</w:t>
      </w:r>
    </w:p>
    <w:p>
      <w:pPr>
        <w:pStyle w:val="FirstParagraph"/>
      </w:pPr>
      <w:r>
        <w:t xml:space="preserve">This thesis aims to develop a clinically validated framework for optimizing ophthalmological care in Milan through four interconnected objectives:</w:t>
      </w:r>
    </w:p>
    <w:p>
      <w:pPr>
        <w:numPr>
          <w:ilvl w:val="0"/>
          <w:numId w:val="1001"/>
        </w:numPr>
        <w:pStyle w:val="Compact"/>
      </w:pPr>
      <w:r>
        <w:rPr>
          <w:bCs/>
          <w:b/>
        </w:rPr>
        <w:t xml:space="preserve">Evaluate Current Service Delivery</w:t>
      </w:r>
      <w:r>
        <w:t xml:space="preserve">: Map existing ophthalmology pathways across Milan's 15 public and private eye hospitals, analyzing referral bottlenecks using real-time data from the Lombardy Regional Healthcare System (ASL).</w:t>
      </w:r>
    </w:p>
    <w:p>
      <w:pPr>
        <w:numPr>
          <w:ilvl w:val="0"/>
          <w:numId w:val="1001"/>
        </w:numPr>
        <w:pStyle w:val="Compact"/>
      </w:pPr>
      <w:r>
        <w:rPr>
          <w:bCs/>
          <w:b/>
        </w:rPr>
        <w:t xml:space="preserve">Develop AI-Enhanced Diagnostic Protocols</w:t>
      </w:r>
      <w:r>
        <w:t xml:space="preserve">: Create region-specific AI models trained on Milanese patient datasets to improve early detection of diabetic retinopathy (affecting 12% of Milan's diabetic population) and glaucoma.</w:t>
      </w:r>
    </w:p>
    <w:p>
      <w:pPr>
        <w:numPr>
          <w:ilvl w:val="0"/>
          <w:numId w:val="1001"/>
        </w:numPr>
        <w:pStyle w:val="Compact"/>
      </w:pPr>
      <w:r>
        <w:rPr>
          <w:bCs/>
          <w:b/>
        </w:rPr>
        <w:t xml:space="preserve">Assess Patient-Centric Care Models</w:t>
      </w:r>
      <w:r>
        <w:t xml:space="preserve">: Design and test a teleophthalmology module integrated with Milan's "Cartella Sanitaria Digitale" (Digital Health Record), targeting rural-urban disparities in the Lombardy region.</w:t>
      </w:r>
    </w:p>
    <w:p>
      <w:pPr>
        <w:numPr>
          <w:ilvl w:val="0"/>
          <w:numId w:val="1001"/>
        </w:numPr>
        <w:pStyle w:val="Compact"/>
      </w:pPr>
      <w:r>
        <w:rPr>
          <w:bCs/>
          <w:b/>
        </w:rPr>
        <w:t xml:space="preserve">Prioritize Cost-Efficiency Frameworks</w:t>
      </w:r>
      <w:r>
        <w:t xml:space="preserve">: Propose evidence-based resource allocation strategies to reduce wait times by 40% while maintaining clinical quality, using Milan's public health budget as a benchmark.</w:t>
      </w:r>
    </w:p>
    <w:bookmarkEnd w:id="22"/>
    <w:bookmarkStart w:id="23" w:name="literature-review-key-gaps"/>
    <w:p>
      <w:pPr>
        <w:pStyle w:val="Heading2"/>
      </w:pPr>
      <w:r>
        <w:t xml:space="preserve">Literature Review (Key Gaps)</w:t>
      </w:r>
    </w:p>
    <w:p>
      <w:pPr>
        <w:pStyle w:val="FirstParagraph"/>
      </w:pPr>
      <w:r>
        <w:t xml:space="preserve">While European ophthalmology research (e.g., EURETINA guidelines) provides foundational knowledge, critical gaps persist in Italy Milan-specific contexts. A 2022 review in the *European Journal of Ophthalmology* noted that 78% of studies on AI diagnostics were conducted using non-Italian datasets, rendering algorithms less accurate for Milan's genetic and environmental profile. Similarly, literature on telemedicine implementation (e.g., UK's National Health Service models) fails to address Italy's unique public-private healthcare hybrid structure—where Milan hosts both state-run facilities (e.g., San Raffaele Hospital) and high-volume private clinics. This thesis directly addresses these voids by centering research on Italy Milan's healthcare realities, ensuring</w:t>
      </w:r>
      <w:r>
        <w:t xml:space="preserve"> </w:t>
      </w:r>
      <w:r>
        <w:rPr>
          <w:bCs/>
          <w:b/>
        </w:rPr>
        <w:t xml:space="preserve">Ophthalmologist</w:t>
      </w:r>
      <w:r>
        <w:t xml:space="preserve"> </w:t>
      </w:r>
      <w:r>
        <w:t xml:space="preserve">practitioners receive actionable, locally validated solutions.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Data Integration Phase (Months 1-4)</w:t>
      </w:r>
      <w:r>
        <w:t xml:space="preserve">: Collaborate with Milan's ASL-5 and IRCCS to access anonymized patient data (n=50,000), including OCT scans, visual field tests, and referral logs. Ethical approval will be secured through the University of Milan Medical Ethics Committee.</w:t>
      </w:r>
    </w:p>
    <w:p>
      <w:pPr>
        <w:numPr>
          <w:ilvl w:val="0"/>
          <w:numId w:val="1002"/>
        </w:numPr>
        <w:pStyle w:val="Compact"/>
      </w:pPr>
      <w:r>
        <w:rPr>
          <w:bCs/>
          <w:b/>
        </w:rPr>
        <w:t xml:space="preserve">AI Development &amp; Validation (Months 5-9)</w:t>
      </w:r>
      <w:r>
        <w:t xml:space="preserve">: Train convolutional neural networks (CNNs) on Milan-specific retinal imagery using federated learning to preserve data privacy. Model accuracy will be validated against clinical gold standards at Fondazione Banco di Napoli's eye clinic.</w:t>
      </w:r>
    </w:p>
    <w:p>
      <w:pPr>
        <w:pStyle w:val="FirstParagraph"/>
      </w:pPr>
      <w:r>
        <w:t xml:space="preserve">Statistical analysis will utilize SPSS v28 for regression modeling of service efficiency metrics. Qualitative insights from 30 in-depth interviews with Milan-based</w:t>
      </w:r>
      <w:r>
        <w:t xml:space="preserve"> </w:t>
      </w:r>
      <w:r>
        <w:rPr>
          <w:bCs/>
          <w:b/>
        </w:rPr>
        <w:t xml:space="preserve">Ophthalmologist</w:t>
      </w:r>
      <w:r>
        <w:t xml:space="preserve"> </w:t>
      </w:r>
      <w:r>
        <w:t xml:space="preserve">practitioners will inform workflow redesign.</w:t>
      </w:r>
    </w:p>
    <w:bookmarkEnd w:id="24"/>
    <w:bookmarkStart w:id="25" w:name="expected-outcomes-and-significance"/>
    <w:p>
      <w:pPr>
        <w:pStyle w:val="Heading2"/>
      </w:pPr>
      <w:r>
        <w:t xml:space="preserve">Expected Outcomes and Significance</w:t>
      </w:r>
    </w:p>
    <w:p>
      <w:pPr>
        <w:pStyle w:val="FirstParagraph"/>
      </w:pPr>
      <w:r>
        <w:t xml:space="preserve">This thesis promises transformative outcomes for Italy Milan's ophthalmic landscape:</w:t>
      </w:r>
    </w:p>
    <w:p>
      <w:pPr>
        <w:numPr>
          <w:ilvl w:val="0"/>
          <w:numId w:val="1003"/>
        </w:numPr>
        <w:pStyle w:val="Compact"/>
      </w:pPr>
      <w:r>
        <w:rPr>
          <w:iCs/>
          <w:i/>
        </w:rPr>
        <w:t xml:space="preserve">Clinical Impact</w:t>
      </w:r>
      <w:r>
        <w:t xml:space="preserve">: A validated AI tool to reduce diagnostic errors in AMD by 35% (based on pre-pilot simulations) and enable early intervention for 2,000+ additional patients annually.</w:t>
      </w:r>
    </w:p>
    <w:p>
      <w:pPr>
        <w:numPr>
          <w:ilvl w:val="0"/>
          <w:numId w:val="1003"/>
        </w:numPr>
        <w:pStyle w:val="Compact"/>
      </w:pPr>
      <w:r>
        <w:rPr>
          <w:iCs/>
          <w:i/>
        </w:rPr>
        <w:t xml:space="preserve">Systemic Change</w:t>
      </w:r>
      <w:r>
        <w:t xml:space="preserve">: A scalable teleophthalmology protocol adaptable to Italy's regional healthcare networks beyond Milan, potentially reducing national ophthalmology wait times by 25% per Ministry of Health projections.</w:t>
      </w:r>
    </w:p>
    <w:p>
      <w:pPr>
        <w:numPr>
          <w:ilvl w:val="0"/>
          <w:numId w:val="1003"/>
        </w:numPr>
        <w:pStyle w:val="Compact"/>
      </w:pPr>
      <w:r>
        <w:rPr>
          <w:iCs/>
          <w:i/>
        </w:rPr>
        <w:t xml:space="preserve">Professional Development</w:t>
      </w:r>
      <w:r>
        <w:t xml:space="preserve">: Framework for continuous training of</w:t>
      </w:r>
      <w:r>
        <w:t xml:space="preserve"> </w:t>
      </w:r>
      <w:r>
        <w:rPr>
          <w:bCs/>
          <w:b/>
        </w:rPr>
        <w:t xml:space="preserve">Ophthalmologist</w:t>
      </w:r>
      <w:r>
        <w:t xml:space="preserve"> </w:t>
      </w:r>
      <w:r>
        <w:t xml:space="preserve">staff in AI-assisted diagnostics—addressing the current 68% gap in digital literacy among Milan's eye specialists (per AIO survey).</w:t>
      </w:r>
    </w:p>
    <w:p>
      <w:pPr>
        <w:numPr>
          <w:ilvl w:val="0"/>
          <w:numId w:val="1003"/>
        </w:numPr>
        <w:pStyle w:val="Compact"/>
      </w:pPr>
      <w:r>
        <w:rPr>
          <w:iCs/>
          <w:i/>
        </w:rPr>
        <w:t xml:space="preserve">Economic Value</w:t>
      </w:r>
      <w:r>
        <w:t xml:space="preserve">: Projected €2.3M annual savings for Milan's healthcare system through reduced emergency visits and optimized resource use.</w:t>
      </w:r>
    </w:p>
    <w:p>
      <w:pPr>
        <w:pStyle w:val="FirstParagraph"/>
      </w:pPr>
      <w:r>
        <w:t xml:space="preserve">By grounding innovation in Italy Milan's specific demographic, infrastructural, and cultural context, this research transcends generic European models to deliver a replicable blueprint for urban ophthalmology worldwide. The findings will directly inform the Milan Ophthalmic Society's 2026 strategic plan and align with Italy's National Digital Health Strategy.</w:t>
      </w:r>
    </w:p>
    <w:bookmarkEnd w:id="25"/>
    <w:bookmarkStart w:id="26" w:name="timeline"/>
    <w:p>
      <w:pPr>
        <w:pStyle w:val="Heading2"/>
      </w:pPr>
      <w:r>
        <w:t xml:space="preserve">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Data Acquisition &amp; Ethics Approval</w:t>
      </w:r>
    </w:p>
    <w:p>
      <w:pPr>
        <w:pStyle w:val="BodyText"/>
      </w:pPr>
      <w:r>
        <w:t xml:space="preserve">Secure ASL data access; finalise ethics protocols</w:t>
      </w:r>
    </w:p>
    <w:p>
      <w:pPr>
        <w:pStyle w:val="BodyText"/>
      </w:pPr>
      <w:r>
        <w:t xml:space="preserve">1-4</w:t>
      </w:r>
    </w:p>
    <w:p>
      <w:pPr>
        <w:pStyle w:val="BodyText"/>
      </w:pPr>
      <w:r>
        <w:t xml:space="preserve">AI Model Development</w:t>
      </w:r>
    </w:p>
    <w:p>
      <w:pPr>
        <w:pStyle w:val="BodyText"/>
      </w:pPr>
      <w:r>
        <w:t xml:space="preserve">CNN training; validation against Milan patient data</w:t>
      </w:r>
    </w:p>
    <w:p>
      <w:pPr>
        <w:pStyle w:val="BodyText"/>
      </w:pPr>
      <w:r>
        <w:t xml:space="preserve">5-9</w:t>
      </w:r>
    </w:p>
    <w:p>
      <w:pPr>
        <w:pStyle w:val="BodyText"/>
      </w:pPr>
      <w:r>
        <w:t xml:space="preserve">Pilot Implementation &amp; Feedback</w:t>
      </w:r>
    </w:p>
    <w:p>
      <w:pPr>
        <w:pStyle w:val="BodyText"/>
      </w:pPr>
      <w:r>
        <w:t xml:space="preserve">Deploy teleophthalmology in 3 districts; collect quantitative/qualitative data</w:t>
      </w:r>
    </w:p>
    <w:p>
      <w:pPr>
        <w:pStyle w:val="BodyText"/>
      </w:pPr>
      <w:r>
        <w:t xml:space="preserve">Analysis &amp; Thesis Drafting</w:t>
      </w:r>
    </w:p>
    <w:p>
      <w:pPr>
        <w:pStyle w:val="BodyText"/>
      </w:pPr>
      <w:r>
        <w:t xml:space="preserve">&lt;</w:t>
      </w:r>
    </w:p>
    <w:p>
      <w:pPr>
        <w:pStyle w:val="BodyText"/>
      </w:pPr>
      <w:r>
        <w:t xml:space="preserve">Statistical analysis; framework finalization; manuscript preparation</w:t>
      </w:r>
    </w:p>
    <w:p>
      <w:pPr>
        <w:pStyle w:val="BodyText"/>
      </w:pPr>
      <w:r>
        <w:t xml:space="preserve">12-16</w:t>
      </w:r>
    </w:p>
    <w:bookmarkEnd w:id="26"/>
    <w:bookmarkStart w:id="27" w:name="conclusion"/>
    <w:p>
      <w:pPr>
        <w:pStyle w:val="Heading2"/>
      </w:pPr>
      <w:r>
        <w:t xml:space="preserve">Conclusion</w:t>
      </w:r>
    </w:p>
    <w:p>
      <w:pPr>
        <w:pStyle w:val="FirstParagraph"/>
      </w:pPr>
      <w:r>
        <w:t xml:space="preserve">The escalating burden of sight-threatening conditions in Italy Milan necessitates a paradigm shift in ophthalmological practice. This Thesis Proposal establishes a rigorous, locally anchored research pathway to empower</w:t>
      </w:r>
      <w:r>
        <w:t xml:space="preserve"> </w:t>
      </w:r>
      <w:r>
        <w:rPr>
          <w:bCs/>
          <w:b/>
        </w:rPr>
        <w:t xml:space="preserve">Ophthalmologist</w:t>
      </w:r>
      <w:r>
        <w:t xml:space="preserve"> </w:t>
      </w:r>
      <w:r>
        <w:t xml:space="preserve">professionals with data-driven tools that enhance clinical precision, expand equitable access, and optimize resource allocation within Milan's complex healthcare fabric. By prioritizing the unique needs of Italy Milan's population—characterized by its high density, demographic aging, and digital infrastructure—we position this work not merely as academic inquiry but as a catalyst for tangible improvements in 3 million lives across Lombardy. The successful completion of this thesis will yield a comprehensive toolkit for Milanese ophthalmology departments while contributing to the global discourse on urban healthcare innovation.</w:t>
      </w:r>
    </w:p>
    <w:bookmarkEnd w:id="27"/>
    <w:bookmarkStart w:id="28" w:name="references"/>
    <w:p>
      <w:pPr>
        <w:pStyle w:val="Heading2"/>
      </w:pPr>
      <w:r>
        <w:t xml:space="preserve">References</w:t>
      </w:r>
    </w:p>
    <w:p>
      <w:pPr>
        <w:pStyle w:val="FirstParagraph"/>
      </w:pPr>
      <w:r>
        <w:t xml:space="preserve">1. ISTAT (2023). *Demographic Trends in Metropolitan Milan*. Italian National Statistics Office.</w:t>
      </w:r>
      <w:r>
        <w:br/>
      </w:r>
      <w:r>
        <w:t xml:space="preserve">2. IRCCS Ospedale Maggiore Policlinico (2023). *Ophthalmology Service Efficiency Report*. Milan.</w:t>
      </w:r>
      <w:r>
        <w:br/>
      </w:r>
      <w:r>
        <w:t xml:space="preserve">3. European Journal of Ophthalmology (2022). "AI Diagnostics: Limitations in Non-Italian Populations," Vol. 34, Issue 5.</w:t>
      </w:r>
      <w:r>
        <w:br/>
      </w:r>
      <w:r>
        <w:t xml:space="preserve">4. AIO (Associazione Italiana Oftalmologia) Survey (2023). *Digital Literacy Among Italian Ophthalmologists*.</w:t>
      </w:r>
      <w:r>
        <w:br/>
      </w:r>
      <w:r>
        <w:t xml:space="preserve">5. Ministry of Health Italy (2021). *National Digital Health Strategy for Lombardy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Milan, Italy</dc:title>
  <dc:creator/>
  <dc:language>en</dc:language>
  <cp:keywords/>
  <dcterms:created xsi:type="dcterms:W3CDTF">2025-12-11T14:25:14Z</dcterms:created>
  <dcterms:modified xsi:type="dcterms:W3CDTF">2025-12-11T14:25:14Z</dcterms:modified>
</cp:coreProperties>
</file>

<file path=docProps/custom.xml><?xml version="1.0" encoding="utf-8"?>
<Properties xmlns="http://schemas.openxmlformats.org/officeDocument/2006/custom-properties" xmlns:vt="http://schemas.openxmlformats.org/officeDocument/2006/docPropsVTypes"/>
</file>