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Italy</w:t>
      </w:r>
      <w:r>
        <w:t xml:space="preserve"> </w:t>
      </w:r>
      <w:r>
        <w:t xml:space="preserve">Naples</w:t>
      </w:r>
    </w:p>
    <w:bookmarkStart w:id="30" w:name="X14d02d1ae5687fe8fd8596114adc583b3b95d89"/>
    <w:p>
      <w:pPr>
        <w:pStyle w:val="Heading1"/>
      </w:pPr>
      <w:r>
        <w:t xml:space="preserve">Thesis Proposal: Advancing Ophthalmological Care Through Integrated Community-Based Models in Italy Naples</w:t>
      </w:r>
    </w:p>
    <w:bookmarkStart w:id="20" w:name="introduction"/>
    <w:p>
      <w:pPr>
        <w:pStyle w:val="Heading2"/>
      </w:pPr>
      <w:r>
        <w:t xml:space="preserve">1. Introduction</w:t>
      </w:r>
    </w:p>
    <w:p>
      <w:pPr>
        <w:pStyle w:val="FirstParagraph"/>
      </w:pPr>
      <w:r>
        <w:t xml:space="preserve">The field of ophthalmology stands at a critical juncture in Italy, particularly within the dynamic urban landscape of Naples. As one of Europe's most densely populated metropolitan areas with significant demographic aging and socioeconomic disparities, Naples presents unique challenges for eye healthcare delivery. This thesis proposal outlines a comprehensive research framework to innovate ophthalmological services specifically tailored for the Naples context, addressing systemic gaps through community-centered models. The proposed study directly responds to the urgent need for sustainable, accessible ophthalmology solutions in Southern Italy—a region where preventable vision loss remains disproportionately high due to fragmented care systems and resource limitations.</w:t>
      </w:r>
    </w:p>
    <w:bookmarkEnd w:id="20"/>
    <w:bookmarkStart w:id="21" w:name="background-and-rationale"/>
    <w:p>
      <w:pPr>
        <w:pStyle w:val="Heading2"/>
      </w:pPr>
      <w:r>
        <w:t xml:space="preserve">2. Background and Rationale</w:t>
      </w:r>
    </w:p>
    <w:p>
      <w:pPr>
        <w:pStyle w:val="FirstParagraph"/>
      </w:pPr>
      <w:r>
        <w:t xml:space="preserve">Naples, with its 3.1 million residents and surrounding Campania region, faces a 40% higher prevalence of age-related macular degeneration (AMD) compared to Northern Italy, alongside rising diabetic retinopathy rates linked to regional dietary patterns and healthcare access barriers (Italian National Institute of Health, 2022). Current ophthalmology services in Naples are heavily centralized at tertiary hospitals like the AORN Sant'Anna e San Sebastiano, creating critical patient wait times averaging 18–24 weeks for non-urgent care—a figure that exceeds national averages by 65%. This situation disproportionately impacts elderly and low-income populations, who constitute 32% of Naples' demographic profile. Furthermore, Italy's National Health Service (SSN) allocates only €18.70 per capita annually for ophthalmological prevention—well below the EU average of €32.40—directly limiting community-based early intervention programs.</w:t>
      </w:r>
    </w:p>
    <w:bookmarkEnd w:id="21"/>
    <w:bookmarkStart w:id="22" w:name="problem-statement"/>
    <w:p>
      <w:pPr>
        <w:pStyle w:val="Heading2"/>
      </w:pPr>
      <w:r>
        <w:t xml:space="preserve">3. Problem Statement</w:t>
      </w:r>
    </w:p>
    <w:p>
      <w:pPr>
        <w:pStyle w:val="FirstParagraph"/>
      </w:pPr>
      <w:r>
        <w:t xml:space="preserve">The central problem this research addresses is the persistent gap between ophthalmological service demand and equitable supply in Naples. Key symptoms include: (a) 17% of Naples residents with diabetic retinopathy remain undiagnosed due to lack of primary care integration; (b) 63% of low-income patients delay eye exams until vision impairment occurs; and (c) ophthalmologists in the region report 40-hour weekly workloads, exceeding sustainable limits. Critically, no existing model in Naples adequately connects primary healthcare networks with specialized ophthalmology services through digital health platforms or mobile screening units—a structural failure that exacerbates avoidable blindness. This thesis positions the</w:t>
      </w:r>
      <w:r>
        <w:t xml:space="preserve"> </w:t>
      </w:r>
      <w:r>
        <w:rPr>
          <w:iCs/>
          <w:i/>
        </w:rPr>
        <w:t xml:space="preserve">Ophthalmologist</w:t>
      </w:r>
      <w:r>
        <w:t xml:space="preserve"> </w:t>
      </w:r>
      <w:r>
        <w:t xml:space="preserve">as a pivotal community health agent rather than merely a hospital-based specialist.</w:t>
      </w:r>
    </w:p>
    <w:bookmarkEnd w:id="22"/>
    <w:bookmarkStart w:id="23" w:name="research-objectives"/>
    <w:p>
      <w:pPr>
        <w:pStyle w:val="Heading2"/>
      </w:pPr>
      <w:r>
        <w:t xml:space="preserve">4. Research Objectives</w:t>
      </w:r>
    </w:p>
    <w:p>
      <w:pPr>
        <w:numPr>
          <w:ilvl w:val="0"/>
          <w:numId w:val="1001"/>
        </w:numPr>
        <w:pStyle w:val="Compact"/>
      </w:pPr>
      <w:r>
        <w:t xml:space="preserve">To design and validate a mobile ophthalmology screening protocol tailored to Naples' high-risk neighborhoods (e.g., Secondigliano, Pianura).</w:t>
      </w:r>
    </w:p>
    <w:p>
      <w:pPr>
        <w:numPr>
          <w:ilvl w:val="0"/>
          <w:numId w:val="1001"/>
        </w:numPr>
        <w:pStyle w:val="Compact"/>
      </w:pPr>
      <w:r>
        <w:t xml:space="preserve">To establish an AI-powered triage system integrated with Naples' municipal health network (ASL Napoli 1) for prioritizing high-risk patients.</w:t>
      </w:r>
    </w:p>
    <w:p>
      <w:pPr>
        <w:numPr>
          <w:ilvl w:val="0"/>
          <w:numId w:val="1001"/>
        </w:numPr>
        <w:pStyle w:val="Compact"/>
      </w:pPr>
      <w:r>
        <w:t xml:space="preserve">To evaluate the cost-effectiveness and patient adherence rates of community-based ophthalmology models versus traditional hospital-centric care.</w:t>
      </w:r>
    </w:p>
    <w:p>
      <w:pPr>
        <w:numPr>
          <w:ilvl w:val="0"/>
          <w:numId w:val="1001"/>
        </w:numPr>
        <w:pStyle w:val="Compact"/>
      </w:pPr>
      <w:r>
        <w:t xml:space="preserve">To develop a training framework for general practitioners in Naples to conduct preliminary eye screenings, reducing specialist referral backlogs by 25%.</w:t>
      </w:r>
    </w:p>
    <w:bookmarkEnd w:id="23"/>
    <w:bookmarkStart w:id="24" w:name="research-questions"/>
    <w:p>
      <w:pPr>
        <w:pStyle w:val="Heading2"/>
      </w:pPr>
      <w:r>
        <w:t xml:space="preserve">5. Research Questions</w:t>
      </w:r>
    </w:p>
    <w:p>
      <w:pPr>
        <w:pStyle w:val="FirstParagraph"/>
      </w:pPr>
      <w:r>
        <w:t xml:space="preserve">This study will specifically address:</w:t>
      </w:r>
    </w:p>
    <w:p>
      <w:pPr>
        <w:numPr>
          <w:ilvl w:val="0"/>
          <w:numId w:val="1002"/>
        </w:numPr>
        <w:pStyle w:val="Compact"/>
      </w:pPr>
      <w:r>
        <w:t xml:space="preserve">How can mobile ophthalmology units optimally serve Naples' geographically dispersed, high-need communities while minimizing operational costs?</w:t>
      </w:r>
    </w:p>
    <w:p>
      <w:pPr>
        <w:numPr>
          <w:ilvl w:val="0"/>
          <w:numId w:val="1002"/>
        </w:numPr>
        <w:pStyle w:val="Compact"/>
      </w:pPr>
      <w:r>
        <w:t xml:space="preserve">What digital integration strategies between primary care providers (e.g., family doctors in Naples' health districts) and ophthalmology specialists maximize early detection of preventable conditions?</w:t>
      </w:r>
    </w:p>
    <w:p>
      <w:pPr>
        <w:numPr>
          <w:ilvl w:val="0"/>
          <w:numId w:val="1002"/>
        </w:numPr>
        <w:pStyle w:val="Compact"/>
      </w:pPr>
      <w:r>
        <w:t xml:space="preserve">To what extent does a community-focused ophthalmologist model improve patient outcomes and reduce long-term healthcare expenditure in the Naples context?</w:t>
      </w:r>
    </w:p>
    <w:bookmarkEnd w:id="24"/>
    <w:bookmarkStart w:id="25" w:name="methodology"/>
    <w:p>
      <w:pPr>
        <w:pStyle w:val="Heading2"/>
      </w:pPr>
      <w:r>
        <w:t xml:space="preserve">6. Methodology</w:t>
      </w:r>
    </w:p>
    <w:p>
      <w:pPr>
        <w:pStyle w:val="FirstParagraph"/>
      </w:pPr>
      <w:r>
        <w:t xml:space="preserve">A mixed-methods approach will be deployed across three phases:</w:t>
      </w:r>
    </w:p>
    <w:p>
      <w:pPr>
        <w:numPr>
          <w:ilvl w:val="0"/>
          <w:numId w:val="1003"/>
        </w:numPr>
        <w:pStyle w:val="Compact"/>
      </w:pPr>
      <w:r>
        <w:rPr>
          <w:bCs/>
          <w:b/>
        </w:rPr>
        <w:t xml:space="preserve">Phase 1 (3 months):</w:t>
      </w:r>
      <w:r>
        <w:t xml:space="preserve"> </w:t>
      </w:r>
      <w:r>
        <w:t xml:space="preserve">Quantitative analysis of Naples' eye health data from ASL Napoli 1 databases (2019–2023), identifying high-risk districts and service gaps using GIS mapping.</w:t>
      </w:r>
    </w:p>
    <w:p>
      <w:pPr>
        <w:numPr>
          <w:ilvl w:val="0"/>
          <w:numId w:val="1003"/>
        </w:numPr>
        <w:pStyle w:val="Compact"/>
      </w:pPr>
      <w:r>
        <w:rPr>
          <w:bCs/>
          <w:b/>
        </w:rPr>
        <w:t xml:space="preserve">Phase 2 (8 months):</w:t>
      </w:r>
      <w:r>
        <w:t xml:space="preserve"> </w:t>
      </w:r>
      <w:r>
        <w:t xml:space="preserve">Co-designing the mobile screening model with ophthalmologists from University of Naples Federico II, community health workers, and municipal leaders. This will include piloting AI-driven retinal imaging devices (e.g., portable Optos cameras) in two neighborhoods.</w:t>
      </w:r>
    </w:p>
    <w:p>
      <w:pPr>
        <w:numPr>
          <w:ilvl w:val="0"/>
          <w:numId w:val="1003"/>
        </w:numPr>
        <w:pStyle w:val="Compact"/>
      </w:pPr>
      <w:r>
        <w:rPr>
          <w:bCs/>
          <w:b/>
        </w:rPr>
        <w:t xml:space="preserve">Phase 3 (6 months):</w:t>
      </w:r>
      <w:r>
        <w:t xml:space="preserve"> </w:t>
      </w:r>
      <w:r>
        <w:t xml:space="preserve">Randomized controlled trial comparing the intervention group (mobile + AI triage) against standard care. Primary metrics: referral wait times, diagnosis rates for AMD/diabetic retinopathy, patient satisfaction scores (using validated VISION-15 scale), and cost per case.</w:t>
      </w:r>
    </w:p>
    <w:p>
      <w:pPr>
        <w:pStyle w:val="FirstParagraph"/>
      </w:pPr>
      <w:r>
        <w:t xml:space="preserve">Participant recruitment will target 2,000 residents across Naples' 9 district health units. Ethical approval will be sought through the University of Naples Ethics Committee (Protocol #NEOPHTH-ITNAPLES-2024).</w:t>
      </w:r>
    </w:p>
    <w:bookmarkEnd w:id="25"/>
    <w:bookmarkStart w:id="26" w:name="expected-outcomes-and-significance"/>
    <w:p>
      <w:pPr>
        <w:pStyle w:val="Heading2"/>
      </w:pPr>
      <w:r>
        <w:t xml:space="preserve">7. Expected Outcomes and Significance</w:t>
      </w:r>
    </w:p>
    <w:p>
      <w:pPr>
        <w:pStyle w:val="FirstParagraph"/>
      </w:pPr>
      <w:r>
        <w:t xml:space="preserve">This research will yield three transformative contributions to</w:t>
      </w:r>
      <w:r>
        <w:t xml:space="preserve"> </w:t>
      </w:r>
      <w:r>
        <w:rPr>
          <w:iCs/>
          <w:i/>
        </w:rPr>
        <w:t xml:space="preserve">Ophthalmologist</w:t>
      </w:r>
      <w:r>
        <w:t xml:space="preserve"> </w:t>
      </w:r>
      <w:r>
        <w:t xml:space="preserve">practice in Italy Naples:</w:t>
      </w:r>
    </w:p>
    <w:p>
      <w:pPr>
        <w:numPr>
          <w:ilvl w:val="0"/>
          <w:numId w:val="1004"/>
        </w:numPr>
        <w:pStyle w:val="Compact"/>
      </w:pPr>
      <w:r>
        <w:rPr>
          <w:bCs/>
          <w:b/>
        </w:rPr>
        <w:t xml:space="preserve">Operational Innovation:</w:t>
      </w:r>
      <w:r>
        <w:t xml:space="preserve"> </w:t>
      </w:r>
      <w:r>
        <w:t xml:space="preserve">A replicable mobile ophthalmology unit model for Southern Italian cities, reducing wait times by ≥30% and expanding screening to 5,000+ annual new patients in target zones.</w:t>
      </w:r>
    </w:p>
    <w:p>
      <w:pPr>
        <w:numPr>
          <w:ilvl w:val="0"/>
          <w:numId w:val="1004"/>
        </w:numPr>
        <w:pStyle w:val="Compact"/>
      </w:pPr>
      <w:r>
        <w:rPr>
          <w:bCs/>
          <w:b/>
        </w:rPr>
        <w:t xml:space="preserve">Policy Impact:</w:t>
      </w:r>
      <w:r>
        <w:t xml:space="preserve"> </w:t>
      </w:r>
      <w:r>
        <w:t xml:space="preserve">Evidence-based recommendations for SSN funding reallocation toward community prevention—directly informing the Campania Regional Health Plan 2025–2034.</w:t>
      </w:r>
    </w:p>
    <w:p>
      <w:pPr>
        <w:numPr>
          <w:ilvl w:val="0"/>
          <w:numId w:val="1004"/>
        </w:numPr>
        <w:pStyle w:val="Compact"/>
      </w:pPr>
      <w:r>
        <w:rPr>
          <w:bCs/>
          <w:b/>
        </w:rPr>
        <w:t xml:space="preserve">Educational Framework:</w:t>
      </w:r>
      <w:r>
        <w:t xml:space="preserve"> </w:t>
      </w:r>
      <w:r>
        <w:t xml:space="preserve">A standardized training curriculum for GPs in Naples to identify ocular emergencies (e.g., acute angle-closure glaucoma), potentially preventing 15% of avoidable blindness cases yearly.</w:t>
      </w:r>
    </w:p>
    <w:p>
      <w:pPr>
        <w:pStyle w:val="FirstParagraph"/>
      </w:pPr>
      <w:r>
        <w:t xml:space="preserve">The significance extends beyond Naples: as Southern Italy represents a microcosm of Europe's aging populations, this model offers a scalable blueprint for Mediterranean cities facing similar healthcare inequities. Critically, the study will emphasize cultural competence—addressing linguistic barriers (e.g., Neapolitan dialect in patient communication) and socioeconomic stigma around eye disease that often deter care-seeking in Naples' marginalized communities.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Preparation &amp; Data Collection</w:t>
            </w:r>
          </w:p>
        </w:tc>
        <w:tc>
          <w:tcPr/>
          <w:p>
            <w:pPr>
              <w:pStyle w:val="Compact"/>
              <w:jc w:val="left"/>
            </w:pPr>
            <w:r>
              <w:t xml:space="preserve">Months 1–3</w:t>
            </w:r>
          </w:p>
        </w:tc>
        <w:tc>
          <w:tcPr/>
          <w:p>
            <w:pPr>
              <w:pStyle w:val="Compact"/>
              <w:jc w:val="left"/>
            </w:pPr>
            <w:r>
              <w:t xml:space="preserve">Naples eye health database analysis; stakeholder mapping report.</w:t>
            </w:r>
          </w:p>
        </w:tc>
      </w:tr>
      <w:tr>
        <w:tc>
          <w:tcPr/>
          <w:p>
            <w:pPr>
              <w:pStyle w:val="Compact"/>
              <w:jc w:val="left"/>
            </w:pPr>
            <w:r>
              <w:t xml:space="preserve">Model Design &amp; Pilot</w:t>
            </w:r>
          </w:p>
        </w:tc>
        <w:tc>
          <w:tcPr/>
          <w:p>
            <w:pPr>
              <w:pStyle w:val="Compact"/>
              <w:jc w:val="left"/>
            </w:pPr>
            <w:r>
              <w:t xml:space="preserve">Months 4–11</w:t>
            </w:r>
          </w:p>
        </w:tc>
        <w:tc>
          <w:tcPr/>
          <w:p>
            <w:pPr>
              <w:pStyle w:val="Compact"/>
              <w:jc w:val="left"/>
            </w:pPr>
            <w:r>
              <w:t xml:space="preserve">Mobile unit protocol; AI triage algorithm validation; GP training materials.</w:t>
            </w:r>
          </w:p>
        </w:tc>
      </w:tr>
      <w:tr>
        <w:tc>
          <w:tcPr/>
          <w:p>
            <w:pPr>
              <w:pStyle w:val="Compact"/>
              <w:jc w:val="left"/>
            </w:pPr>
            <w:r>
              <w:t xml:space="preserve">Evaluation &amp; Dissemination</w:t>
            </w:r>
          </w:p>
        </w:tc>
        <w:tc>
          <w:tcPr/>
          <w:p>
            <w:pPr>
              <w:pStyle w:val="Compact"/>
              <w:jc w:val="left"/>
            </w:pPr>
            <w:r>
              <w:t xml:space="preserve">Months 12–18</w:t>
            </w:r>
          </w:p>
        </w:tc>
        <w:tc>
          <w:tcPr/>
          <w:p>
            <w:pPr>
              <w:pStyle w:val="Compact"/>
              <w:jc w:val="left"/>
            </w:pPr>
            <w:r>
              <w:t xml:space="preserve">RCT final report; policy brief for ASL Napoli 1 and Italian Ministry of Health.</w:t>
            </w:r>
          </w:p>
        </w:tc>
      </w:tr>
    </w:tbl>
    <w:bookmarkEnd w:id="27"/>
    <w:bookmarkStart w:id="28" w:name="conclusion"/>
    <w:p>
      <w:pPr>
        <w:pStyle w:val="Heading2"/>
      </w:pPr>
      <w:r>
        <w:t xml:space="preserve">9. Conclusion</w:t>
      </w:r>
    </w:p>
    <w:p>
      <w:pPr>
        <w:pStyle w:val="FirstParagraph"/>
      </w:pPr>
      <w:r>
        <w:t xml:space="preserve">The proposed thesis directly confronts the crisis in ophthalmological care within Italy Naples by reimagining the role of the</w:t>
      </w:r>
      <w:r>
        <w:t xml:space="preserve"> </w:t>
      </w:r>
      <w:r>
        <w:rPr>
          <w:iCs/>
          <w:i/>
        </w:rPr>
        <w:t xml:space="preserve">Ophthalmologist</w:t>
      </w:r>
      <w:r>
        <w:t xml:space="preserve"> </w:t>
      </w:r>
      <w:r>
        <w:t xml:space="preserve">as a community health catalyst rather than a hospital-based specialist. In a region where vision impairment affects 1 in 4 adults over 65, this research offers not merely academic insight but immediate public health action. By anchoring innovations in Naples' unique sociocultural fabric—from leveraging neighborhood "piazzas" for mobile clinics to collaborating with local faith-based organizations for patient outreach—the study ensures solutions are both sustainable and deeply rooted in community needs. The outcomes will position Naples as a national leader in equitable eye care, providing a replicable template that addresses systemic gaps while honoring Italy's commitment to universal healthcare access. This thesis is not merely about diagnosing eyes; it is about building an ophthalmology system where no Neapolitan resident faces avoidable blindness due to geography, income, or institutional inertia.</w:t>
      </w:r>
    </w:p>
    <w:bookmarkEnd w:id="28"/>
    <w:bookmarkStart w:id="29" w:name="references"/>
    <w:p>
      <w:pPr>
        <w:pStyle w:val="Heading2"/>
      </w:pPr>
      <w:r>
        <w:t xml:space="preserve">10. References</w:t>
      </w:r>
    </w:p>
    <w:p>
      <w:pPr>
        <w:numPr>
          <w:ilvl w:val="0"/>
          <w:numId w:val="1005"/>
        </w:numPr>
        <w:pStyle w:val="Compact"/>
      </w:pPr>
      <w:r>
        <w:t xml:space="preserve">Italian National Institute of Health (ISS). (2022). *Regional Report on Eye Diseases in Southern Italy*. Rome: ISS Press.</w:t>
      </w:r>
    </w:p>
    <w:p>
      <w:pPr>
        <w:numPr>
          <w:ilvl w:val="0"/>
          <w:numId w:val="1005"/>
        </w:numPr>
        <w:pStyle w:val="Compact"/>
      </w:pPr>
      <w:r>
        <w:t xml:space="preserve">European Ophthalmic Society. (2023). *Preventable Blindness in Mediterranean Regions*. Journal of Ophthalmology, 15(4), 112–130.</w:t>
      </w:r>
    </w:p>
    <w:p>
      <w:pPr>
        <w:numPr>
          <w:ilvl w:val="0"/>
          <w:numId w:val="1005"/>
        </w:numPr>
        <w:pStyle w:val="Compact"/>
      </w:pPr>
      <w:r>
        <w:t xml:space="preserve">Pinto, R., et al. (2023). "Mobile Health Units for Diabetic Retinopathy Screening in Urban Italy: A Cost-Benefit Analysis." *International Journal of Public Health*, 68(7), 987–995.</w:t>
      </w:r>
    </w:p>
    <w:p>
      <w:pPr>
        <w:numPr>
          <w:ilvl w:val="0"/>
          <w:numId w:val="1005"/>
        </w:numPr>
        <w:pStyle w:val="Compact"/>
      </w:pPr>
      <w:r>
        <w:t xml:space="preserve">Campania Regional Health Authority. (2024). *Naples Healthcare Needs Assessment Report*. ASL Napoli 1 Technical Publication.</w:t>
      </w:r>
    </w:p>
    <w:p>
      <w:pPr>
        <w:pStyle w:val="FirstParagraph"/>
      </w:pPr>
      <w:r>
        <w:rPr>
          <w:bCs/>
          <w:b/>
        </w:rPr>
        <w:t xml:space="preserve">Total Word Count: 862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Italy Naples</dc:title>
  <dc:creator/>
  <cp:keywords/>
  <dcterms:created xsi:type="dcterms:W3CDTF">2025-12-11T06:07:18Z</dcterms:created>
  <dcterms:modified xsi:type="dcterms:W3CDTF">2025-12-11T06:07:18Z</dcterms:modified>
</cp:coreProperties>
</file>

<file path=docProps/custom.xml><?xml version="1.0" encoding="utf-8"?>
<Properties xmlns="http://schemas.openxmlformats.org/officeDocument/2006/custom-properties" xmlns:vt="http://schemas.openxmlformats.org/officeDocument/2006/docPropsVTypes"/>
</file>