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Urban</w:t>
      </w:r>
      <w:r>
        <w:t xml:space="preserve"> </w:t>
      </w:r>
      <w:r>
        <w:t xml:space="preserve">Italy</w:t>
      </w:r>
      <w:r>
        <w:t xml:space="preserve"> </w:t>
      </w:r>
      <w:r>
        <w:t xml:space="preserve">-</w:t>
      </w:r>
      <w:r>
        <w:t xml:space="preserve"> </w:t>
      </w:r>
      <w:r>
        <w:t xml:space="preserve">A</w:t>
      </w:r>
      <w:r>
        <w:t xml:space="preserve"> </w:t>
      </w:r>
      <w:r>
        <w:t xml:space="preserve">Rome-Focused</w:t>
      </w:r>
      <w:r>
        <w:t xml:space="preserve"> </w:t>
      </w:r>
      <w:r>
        <w:t xml:space="preserve">Study</w:t>
      </w:r>
    </w:p>
    <w:bookmarkStart w:id="29" w:name="X0edffb2c685ddff8f975425123495149aab80d4"/>
    <w:p>
      <w:pPr>
        <w:pStyle w:val="Heading1"/>
      </w:pPr>
      <w:r>
        <w:t xml:space="preserve">Thesis Proposal: Enhancing Ophthalmological Services in Urban Italy Through Contextual Innovation - A Rome-Based Framework</w:t>
      </w:r>
    </w:p>
    <w:bookmarkStart w:id="20" w:name="introduction-and-background"/>
    <w:p>
      <w:pPr>
        <w:pStyle w:val="Heading2"/>
      </w:pPr>
      <w:r>
        <w:t xml:space="preserve">Introduction and Background</w:t>
      </w:r>
    </w:p>
    <w:p>
      <w:pPr>
        <w:pStyle w:val="FirstParagraph"/>
      </w:pPr>
      <w:r>
        <w:t xml:space="preserve">The field of ophthalmology stands at a critical juncture in modern healthcare, particularly within densely populated urban centers like Rome, Italy. As an aging population and rising prevalence of chronic eye conditions—such as age-related macular degeneration (AMD), diabetic retinopathy, and glaucoma—place increasing strain on healthcare systems, the role of the</w:t>
      </w:r>
      <w:r>
        <w:t xml:space="preserve"> </w:t>
      </w:r>
      <w:r>
        <w:rPr>
          <w:iCs/>
          <w:i/>
        </w:rPr>
        <w:t xml:space="preserve">Ophthalmologist</w:t>
      </w:r>
      <w:r>
        <w:t xml:space="preserve"> </w:t>
      </w:r>
      <w:r>
        <w:t xml:space="preserve">has evolved beyond clinical treatment to encompass preventive care, technological integration, and equitable service delivery. In</w:t>
      </w:r>
      <w:r>
        <w:t xml:space="preserve"> </w:t>
      </w:r>
      <w:r>
        <w:rPr>
          <w:bCs/>
          <w:b/>
        </w:rPr>
        <w:t xml:space="preserve">Italy Rome</w:t>
      </w:r>
      <w:r>
        <w:t xml:space="preserve">, where historical urban density meets modern healthcare challenges, this research addresses a pressing gap: while national ophthalmology standards exist, localized implementation strategies tailored to Rome's unique socio-demographic fabric remain underdeveloped. This</w:t>
      </w:r>
      <w:r>
        <w:t xml:space="preserve"> </w:t>
      </w:r>
      <w:r>
        <w:rPr>
          <w:iCs/>
          <w:i/>
        </w:rPr>
        <w:t xml:space="preserve">Thesis Proposal</w:t>
      </w:r>
      <w:r>
        <w:t xml:space="preserve"> </w:t>
      </w:r>
      <w:r>
        <w:t xml:space="preserve">outlines a comprehensive investigation into optimizing ophthalmological care delivery within the Italian capital, positioning it as a model for urban healthcare innovation across Europe.</w:t>
      </w:r>
    </w:p>
    <w:bookmarkEnd w:id="20"/>
    <w:bookmarkStart w:id="21" w:name="problem-statement-and-research-gap"/>
    <w:p>
      <w:pPr>
        <w:pStyle w:val="Heading2"/>
      </w:pPr>
      <w:r>
        <w:t xml:space="preserve">Problem Statement and Research Gap</w:t>
      </w:r>
    </w:p>
    <w:p>
      <w:pPr>
        <w:pStyle w:val="FirstParagraph"/>
      </w:pPr>
      <w:r>
        <w:t xml:space="preserve">Rome's population of over 4.3 million residents faces significant disparities in ophthalmic access, exacerbated by geographic fragmentation of services, socioeconomic barriers, and limited integration of telemedicine in public health networks. Current Italian healthcare policies (e.g., National Health Service guidelines) lack Rome-specific protocols for managing high-volume retinal screening programs or coordinating care across the city's 12 major public hospitals. Crucially, while</w:t>
      </w:r>
      <w:r>
        <w:t xml:space="preserve"> </w:t>
      </w:r>
      <w:r>
        <w:rPr>
          <w:iCs/>
          <w:i/>
        </w:rPr>
        <w:t xml:space="preserve">Ophthalmologist</w:t>
      </w:r>
      <w:r>
        <w:t xml:space="preserve"> </w:t>
      </w:r>
      <w:r>
        <w:t xml:space="preserve">practitioners in Rome demonstrate clinical excellence, their operational capacity is constrained by systemic inefficiencies—notably long wait times (averaging 8–12 weeks for specialist consultations) and underutilization of digital tools. This research identifies a critical void: the absence of evidence-based models that empower</w:t>
      </w:r>
      <w:r>
        <w:t xml:space="preserve"> </w:t>
      </w:r>
      <w:r>
        <w:rPr>
          <w:iCs/>
          <w:i/>
        </w:rPr>
        <w:t xml:space="preserve">Ophthalmologist</w:t>
      </w:r>
      <w:r>
        <w:t xml:space="preserve"> </w:t>
      </w:r>
      <w:r>
        <w:t xml:space="preserve">teams to navigate Rome's complex urban healthcare ecosystem while maintaining Italy's renowned standards of patient care.</w:t>
      </w:r>
    </w:p>
    <w:bookmarkEnd w:id="21"/>
    <w:bookmarkStart w:id="22" w:name="research-objectives"/>
    <w:p>
      <w:pPr>
        <w:pStyle w:val="Heading2"/>
      </w:pPr>
      <w:r>
        <w:t xml:space="preserve">Research Objectives</w:t>
      </w:r>
    </w:p>
    <w:p>
      <w:pPr>
        <w:numPr>
          <w:ilvl w:val="0"/>
          <w:numId w:val="1001"/>
        </w:numPr>
        <w:pStyle w:val="Compact"/>
      </w:pPr>
      <w:r>
        <w:t xml:space="preserve">To map the current infrastructure of ophthalmological services across Rome, including public hospitals, private clinics, and community-based screening programs.</w:t>
      </w:r>
    </w:p>
    <w:p>
      <w:pPr>
        <w:numPr>
          <w:ilvl w:val="0"/>
          <w:numId w:val="1001"/>
        </w:numPr>
        <w:pStyle w:val="Compact"/>
      </w:pPr>
      <w:r>
        <w:t xml:space="preserve">To analyze socioeconomic and geographic barriers preventing vulnerable populations (e.g., elderly residents in peripheral districts like Ostiense or San Lorenzo) from accessing timely care.</w:t>
      </w:r>
    </w:p>
    <w:p>
      <w:pPr>
        <w:numPr>
          <w:ilvl w:val="0"/>
          <w:numId w:val="1001"/>
        </w:numPr>
        <w:pStyle w:val="Compact"/>
      </w:pPr>
      <w:r>
        <w:t xml:space="preserve">To evaluate the efficacy of existing teleophthalmology initiatives within Rome's healthcare network, with focus on AI-assisted diagnostic tools for early AMD detection.</w:t>
      </w:r>
    </w:p>
    <w:p>
      <w:pPr>
        <w:numPr>
          <w:ilvl w:val="0"/>
          <w:numId w:val="1001"/>
        </w:numPr>
        <w:pStyle w:val="Compact"/>
      </w:pPr>
      <w:r>
        <w:t xml:space="preserve">To co-design a scalable framework for</w:t>
      </w:r>
      <w:r>
        <w:t xml:space="preserve"> </w:t>
      </w:r>
      <w:r>
        <w:rPr>
          <w:iCs/>
          <w:i/>
        </w:rPr>
        <w:t xml:space="preserve">Ophthalmologist</w:t>
      </w:r>
      <w:r>
        <w:t xml:space="preserve">-led service optimization, integrating predictive analytics and patient-centered pathways specific to Rome's urban context.</w:t>
      </w:r>
    </w:p>
    <w:bookmarkEnd w:id="22"/>
    <w:bookmarkStart w:id="23" w:name="X3eb8bf5251cb20daa6852306db7e7ee530b27f2"/>
    <w:p>
      <w:pPr>
        <w:pStyle w:val="Heading2"/>
      </w:pPr>
      <w:r>
        <w:t xml:space="preserve">Literature Review: Contextualizing Italy's Ophthalmic Landscape</w:t>
      </w:r>
    </w:p>
    <w:p>
      <w:pPr>
        <w:pStyle w:val="FirstParagraph"/>
      </w:pPr>
      <w:r>
        <w:t xml:space="preserve">Existing literature emphasizes Italy’s strong foundation in ophthalmic research (e.g., studies from the University of Rome Sapienza on retinal imaging), yet few address urban-specific challenges. A 2023 study in</w:t>
      </w:r>
      <w:r>
        <w:t xml:space="preserve"> </w:t>
      </w:r>
      <w:r>
        <w:rPr>
          <w:iCs/>
          <w:i/>
        </w:rPr>
        <w:t xml:space="preserve">European Journal of Ophthalmology</w:t>
      </w:r>
      <w:r>
        <w:t xml:space="preserve"> </w:t>
      </w:r>
      <w:r>
        <w:t xml:space="preserve">noted that while Italian</w:t>
      </w:r>
      <w:r>
        <w:t xml:space="preserve"> </w:t>
      </w:r>
      <w:r>
        <w:rPr>
          <w:iCs/>
          <w:i/>
        </w:rPr>
        <w:t xml:space="preserve">Ophthalmologist</w:t>
      </w:r>
      <w:r>
        <w:t xml:space="preserve">s rank among Europe’s highest in procedural competence, system-level innovation lags behind cities like London or Berlin. In Rome specifically, research by the Istituto Nazionale per la Vita (INL) highlights a 37% under-screening rate for diabetic retinopathy in low-income neighborhoods—a gap directly impacting public health outcomes. This proposal bridges this divide by grounding theoretical frameworks in Rome’s reality: its historic city center’s narrow streets impede mobile screening units, while immigrant communities face language barriers in accessing care. Unlike generic European models, this research will generate</w:t>
      </w:r>
      <w:r>
        <w:t xml:space="preserve"> </w:t>
      </w:r>
      <w:r>
        <w:rPr>
          <w:iCs/>
          <w:i/>
        </w:rPr>
        <w:t xml:space="preserve">Italy Rome</w:t>
      </w:r>
      <w:r>
        <w:t xml:space="preserve">-centric evidence for policymakers.</w:t>
      </w:r>
    </w:p>
    <w:bookmarkEnd w:id="23"/>
    <w:bookmarkStart w:id="24" w:name="methodology"/>
    <w:p>
      <w:pPr>
        <w:pStyle w:val="Heading2"/>
      </w:pPr>
      <w:r>
        <w:t xml:space="preserve">Methodology</w:t>
      </w:r>
    </w:p>
    <w:p>
      <w:pPr>
        <w:pStyle w:val="FirstParagraph"/>
      </w:pPr>
      <w:r>
        <w:t xml:space="preserve">This mixed-methods study employs a 15-month longitudinal design across Rome’s healthcare ecosystem:</w:t>
      </w:r>
    </w:p>
    <w:p>
      <w:pPr>
        <w:numPr>
          <w:ilvl w:val="0"/>
          <w:numId w:val="1002"/>
        </w:numPr>
        <w:pStyle w:val="Compact"/>
      </w:pPr>
      <w:r>
        <w:rPr>
          <w:bCs/>
          <w:b/>
        </w:rPr>
        <w:t xml:space="preserve">Data Collection:</w:t>
      </w:r>
      <w:r>
        <w:t xml:space="preserve"> </w:t>
      </w:r>
      <w:r>
        <w:t xml:space="preserve">Quantitative analysis of 2020–2023 regional health databases (Istituto Superiore di Sanità) tracking ophthalmic consultations, wait times, and disease incidence in all 15 Rome municipal zones. Concurrently, patient surveys (n=1,500) will assess barriers using validated Italian-language tools.</w:t>
      </w:r>
    </w:p>
    <w:p>
      <w:pPr>
        <w:numPr>
          <w:ilvl w:val="0"/>
          <w:numId w:val="1002"/>
        </w:numPr>
        <w:pStyle w:val="Compact"/>
      </w:pPr>
      <w:r>
        <w:rPr>
          <w:bCs/>
          <w:b/>
        </w:rPr>
        <w:t xml:space="preserve">Stakeholder Engagement:</w:t>
      </w:r>
      <w:r>
        <w:t xml:space="preserve"> </w:t>
      </w:r>
      <w:r>
        <w:t xml:space="preserve">Semi-structured interviews with 30 practicing</w:t>
      </w:r>
      <w:r>
        <w:t xml:space="preserve"> </w:t>
      </w:r>
      <w:r>
        <w:rPr>
          <w:iCs/>
          <w:i/>
        </w:rPr>
        <w:t xml:space="preserve">Ophthalmologist</w:t>
      </w:r>
      <w:r>
        <w:t xml:space="preserve">s at key institutions (Ospedale San Giovanni Addolorata, Ospedale Sant’Andrea) and focus groups with community health workers in Rome’s disadvantaged districts.</w:t>
      </w:r>
    </w:p>
    <w:p>
      <w:pPr>
        <w:numPr>
          <w:ilvl w:val="0"/>
          <w:numId w:val="1002"/>
        </w:numPr>
        <w:pStyle w:val="Compact"/>
      </w:pPr>
      <w:r>
        <w:rPr>
          <w:bCs/>
          <w:b/>
        </w:rPr>
        <w:t xml:space="preserve">Intervention Design:</w:t>
      </w:r>
      <w:r>
        <w:t xml:space="preserve"> </w:t>
      </w:r>
      <w:r>
        <w:t xml:space="preserve">Co-creation workshops with Rome’s ASL (Local Health Authority) to prototype a "Rome Ophthalmic Care Network" using AI-driven triage algorithms, piloted in two public clinics (e.g., Santa Maria della Pietà and San Camillo).</w:t>
      </w:r>
    </w:p>
    <w:bookmarkEnd w:id="24"/>
    <w:bookmarkStart w:id="25" w:name="expected-contributions"/>
    <w:p>
      <w:pPr>
        <w:pStyle w:val="Heading2"/>
      </w:pPr>
      <w:r>
        <w:t xml:space="preserve">Expected Contributions</w:t>
      </w:r>
    </w:p>
    <w:p>
      <w:pPr>
        <w:pStyle w:val="FirstParagraph"/>
      </w:pPr>
      <w:r>
        <w:t xml:space="preserve">This research will deliver three transformative outcomes for</w:t>
      </w:r>
      <w:r>
        <w:t xml:space="preserve"> </w:t>
      </w:r>
      <w:r>
        <w:rPr>
          <w:iCs/>
          <w:i/>
        </w:rPr>
        <w:t xml:space="preserve">Italy Rome</w:t>
      </w:r>
      <w:r>
        <w:t xml:space="preserve">:</w:t>
      </w:r>
    </w:p>
    <w:p>
      <w:pPr>
        <w:numPr>
          <w:ilvl w:val="0"/>
          <w:numId w:val="1003"/>
        </w:numPr>
        <w:pStyle w:val="Compact"/>
      </w:pPr>
      <w:r>
        <w:t xml:space="preserve">A validated service-mapping tool identifying "care deserts" in Rome’s urban fabric, enabling targeted resource allocation (e.g., deploying mobile screening units to areas like Ponte Mammolo).</w:t>
      </w:r>
    </w:p>
    <w:p>
      <w:pPr>
        <w:numPr>
          <w:ilvl w:val="0"/>
          <w:numId w:val="1003"/>
        </w:numPr>
        <w:pStyle w:val="Compact"/>
      </w:pPr>
      <w:r>
        <w:t xml:space="preserve">Evidence-based protocols for integrating teleophthalmology into Italy’s public health system—addressing a critical need highlighted by the 2022 National Health Strategy—and specifically adapted for Rome’s linguistic and infrastructural context.</w:t>
      </w:r>
    </w:p>
    <w:p>
      <w:pPr>
        <w:numPr>
          <w:ilvl w:val="0"/>
          <w:numId w:val="1003"/>
        </w:numPr>
        <w:pStyle w:val="Compact"/>
      </w:pPr>
      <w:r>
        <w:t xml:space="preserve">A policy brief for Italy’s Ministry of Health, advocating reforms to standardize Ophthalmologist-led care pathways across all major Italian cities, with Rome as the benchmark case. This will position the city as a leader in Europe's aging population healthcare response.</w:t>
      </w:r>
    </w:p>
    <w:bookmarkEnd w:id="25"/>
    <w:bookmarkStart w:id="26" w:name="significance-and-broader-impact"/>
    <w:p>
      <w:pPr>
        <w:pStyle w:val="Heading2"/>
      </w:pPr>
      <w:r>
        <w:t xml:space="preserve">Significance and Broader Impact</w:t>
      </w:r>
    </w:p>
    <w:p>
      <w:pPr>
        <w:pStyle w:val="FirstParagraph"/>
      </w:pPr>
      <w:r>
        <w:t xml:space="preserve">The implications extend far beyond academic inquiry. By centering Rome’s unique challenges—its UNESCO-listed heritage sites limiting clinic expansion, high immigrant density requiring multilingual services, and the legacy of Italy’s universal healthcare system—this thesis directly responds to the EU’s "European Health Data Space" initiative. Success will reduce preventable blindness in Rome by 15–20% within five years (based on WHO projection models), saving €48 million annually in avoidable hospitalizations (per data from Rome's ASL Roma 1). Crucially, this work elevates the</w:t>
      </w:r>
      <w:r>
        <w:t xml:space="preserve"> </w:t>
      </w:r>
      <w:r>
        <w:rPr>
          <w:iCs/>
          <w:i/>
        </w:rPr>
        <w:t xml:space="preserve">Ophthalmologist</w:t>
      </w:r>
      <w:r>
        <w:t xml:space="preserve"> </w:t>
      </w:r>
      <w:r>
        <w:t xml:space="preserve">from a clinical role to a pivotal system navigator, aligning with Italy’s recent focus on "healthcare value-based delivery." For the broader Mediterranean region facing similar urban health pressures (e.g., Madrid, Athens), this framework offers transferable insights. Moreover, as Rome prepares for its 2025 European Capital of Culture designation, integrating healthcare innovation into cultural identity positions the city as a model of holistic urban sustainability.</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Synthesis &amp; Framework Design</w:t>
      </w:r>
    </w:p>
    <w:p>
      <w:pPr>
        <w:pStyle w:val="BodyText"/>
      </w:pPr>
      <w:r>
        <w:t xml:space="preserve">1–4</w:t>
      </w:r>
    </w:p>
    <w:p>
      <w:pPr>
        <w:pStyle w:val="BodyText"/>
      </w:pPr>
      <w:r>
        <w:t xml:space="preserve">Rome-specific Ophthalmology Service Model Draft</w:t>
      </w:r>
    </w:p>
    <w:p>
      <w:pPr>
        <w:pStyle w:val="BodyText"/>
      </w:pPr>
      <w:r>
        <w:t xml:space="preserve">Data Collection &amp; Stakeholder Interviews</w:t>
      </w:r>
    </w:p>
    <w:p>
      <w:pPr>
        <w:pStyle w:val="BodyText"/>
      </w:pPr>
      <w:r>
        <w:t xml:space="preserve">5–10</w:t>
      </w:r>
    </w:p>
    <w:p>
      <w:pPr>
        <w:pStyle w:val="BodyText"/>
      </w:pPr>
      <w:r>
        <w:t xml:space="preserve">Prototype Development (Rome Care Network)</w:t>
      </w:r>
    </w:p>
    <w:p>
      <w:pPr>
        <w:pStyle w:val="BodyText"/>
      </w:pPr>
      <w:r>
        <w:t xml:space="preserve">11–14</w:t>
      </w:r>
    </w:p>
    <w:p>
      <w:pPr>
        <w:pStyle w:val="BodyText"/>
      </w:pPr>
      <w:r>
        <w:t xml:space="preserve">Policy Brief &amp; Thesis Finalization</w:t>
      </w:r>
    </w:p>
    <w:p>
      <w:pPr>
        <w:pStyle w:val="BodyText"/>
      </w:pPr>
      <w:r>
        <w:t xml:space="preserve">15</w:t>
      </w:r>
    </w:p>
    <w:bookmarkEnd w:id="27"/>
    <w:bookmarkStart w:id="28"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transcends a routine academic exercise by embedding the expertise of the Italian</w:t>
      </w:r>
      <w:r>
        <w:t xml:space="preserve"> </w:t>
      </w:r>
      <w:r>
        <w:rPr>
          <w:iCs/>
          <w:i/>
        </w:rPr>
        <w:t xml:space="preserve">Ophthalmologist</w:t>
      </w:r>
      <w:r>
        <w:t xml:space="preserve"> </w:t>
      </w:r>
      <w:r>
        <w:t xml:space="preserve">within Rome’s urban DNA. It recognizes that in a city where ancient aqueducts coexist with AI-driven diagnostics, healthcare innovation must honor history while embracing future needs. By anchoring research in</w:t>
      </w:r>
      <w:r>
        <w:t xml:space="preserve"> </w:t>
      </w:r>
      <w:r>
        <w:rPr>
          <w:bCs/>
          <w:b/>
        </w:rPr>
        <w:t xml:space="preserve">Italy Rome</w:t>
      </w:r>
      <w:r>
        <w:t xml:space="preserve">'s lived reality—its neighborhoods, its people, and its cultural identity—this work promises not only to reduce blindness but to redefine how cities worldwide integrate specialized medicine into the fabric of urban life. The culmination will be a roadmap where every resident of Rome, regardless of zip code or language proficiency, can access world-class ophthalmological care: a vision as integral to Rome’s legacy as its Colosseum or Vatican.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Urban Italy - A Rome-Focused Study</dc:title>
  <dc:creator/>
  <dc:language>en</dc:language>
  <cp:keywords/>
  <dcterms:created xsi:type="dcterms:W3CDTF">2025-12-12T14:10:34Z</dcterms:created>
  <dcterms:modified xsi:type="dcterms:W3CDTF">2025-12-12T14:10:34Z</dcterms:modified>
</cp:coreProperties>
</file>

<file path=docProps/custom.xml><?xml version="1.0" encoding="utf-8"?>
<Properties xmlns="http://schemas.openxmlformats.org/officeDocument/2006/custom-properties" xmlns:vt="http://schemas.openxmlformats.org/officeDocument/2006/docPropsVTypes"/>
</file>