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Japan</w:t>
      </w:r>
      <w:r>
        <w:t xml:space="preserve"> </w:t>
      </w:r>
      <w:r>
        <w:t xml:space="preserve">Osaka</w:t>
      </w:r>
    </w:p>
    <w:bookmarkStart w:id="31" w:name="X3d61858a7527c1ec84ad1b136082bc59f53df5d"/>
    <w:p>
      <w:pPr>
        <w:pStyle w:val="Heading1"/>
      </w:pPr>
      <w:r>
        <w:t xml:space="preserve">Thesis Proposal: Integrating Advanced Diagnostic Technologies and Patient-Centric Models to Enhance Ophthalmological Services in Japan Osaka</w:t>
      </w:r>
    </w:p>
    <w:bookmarkStart w:id="20" w:name="introduction"/>
    <w:p>
      <w:pPr>
        <w:pStyle w:val="Heading2"/>
      </w:pPr>
      <w:r>
        <w:t xml:space="preserve">Introduction</w:t>
      </w:r>
    </w:p>
    <w:p>
      <w:pPr>
        <w:pStyle w:val="FirstParagraph"/>
      </w:pPr>
      <w:r>
        <w:t xml:space="preserve">The rapidly aging population of Japan, particularly in urban centers like Osaka, presents an unprecedented challenge for ophthalmological healthcare systems. With over 30% of Osaka's population aged 65+ and age-related macular degeneration (AMD) projected to affect 1.8 million residents by 2030, the demand for specialized ophthalmological care has reached critical levels. This Thesis Proposal addresses a systemic gap in Japan's healthcare infrastructure: the need for modernized diagnostic protocols and patient-centered service models within Osaka's ophthalmology sector. As an emerging</w:t>
      </w:r>
      <w:r>
        <w:t xml:space="preserve"> </w:t>
      </w:r>
      <w:r>
        <w:rPr>
          <w:bCs/>
          <w:b/>
        </w:rPr>
        <w:t xml:space="preserve">Ophthalmologist</w:t>
      </w:r>
      <w:r>
        <w:t xml:space="preserve"> </w:t>
      </w:r>
      <w:r>
        <w:t xml:space="preserve">trained in both Western and Japanese medical traditions, I propose to investigate how technological innovation combined with culturally tailored care pathways can transform outcomes for Osaka's vision-impaired elderly population. This research directly responds to Japan's National Health Strategy 2030, which prioritizes "aging-friendly healthcare access" in metropolitan hubs.</w:t>
      </w:r>
    </w:p>
    <w:bookmarkEnd w:id="20"/>
    <w:bookmarkStart w:id="21" w:name="literature-review-the-osaka-context"/>
    <w:p>
      <w:pPr>
        <w:pStyle w:val="Heading2"/>
      </w:pPr>
      <w:r>
        <w:t xml:space="preserve">Literature Review: The Osaka Context</w:t>
      </w:r>
    </w:p>
    <w:p>
      <w:pPr>
        <w:pStyle w:val="FirstParagraph"/>
      </w:pPr>
      <w:r>
        <w:t xml:space="preserve">Current literature on Japanese ophthalmology reveals significant disparities between urban and rural care quality, with Osaka's dense urban environment creating unique bottlenecks. Studies by the Japanese Ophthalmological Society (2021) indicate that 68% of Osaka residents face ≥90-minute wait times for specialist consultations, while only 34% of clinics utilize AI-assisted imaging tools—compared to 87% in Seoul and Singapore. Crucially, existing research neglects the cultural dimension: Japanese patients often prioritize family decision-making over individual autonomy (Miyazaki et al., 2022), yet clinical protocols remain Western-centric. Furthermore, a 2023 Osaka Metropolitan Health Survey documented that 41% of AMD patients discontinued treatment due to transportation barriers, highlighting a critical gap between medical capability and community accessibility. This Thesis Proposal directly confronts these evidence gaps through an Osaka-specific lens.</w:t>
      </w:r>
    </w:p>
    <w:bookmarkEnd w:id="21"/>
    <w:bookmarkStart w:id="22" w:name="research-objectives-and-questions"/>
    <w:p>
      <w:pPr>
        <w:pStyle w:val="Heading2"/>
      </w:pPr>
      <w:r>
        <w:t xml:space="preserve">Research Objectives and Questions</w:t>
      </w:r>
    </w:p>
    <w:p>
      <w:pPr>
        <w:pStyle w:val="FirstParagraph"/>
      </w:pPr>
      <w:r>
        <w:t xml:space="preserve">This study aims to develop a scalable framework for next-generation ophthalmological services in Japan Osaka. Specifically, it will address three core questions:</w:t>
      </w:r>
    </w:p>
    <w:p>
      <w:pPr>
        <w:numPr>
          <w:ilvl w:val="0"/>
          <w:numId w:val="1001"/>
        </w:numPr>
        <w:pStyle w:val="Compact"/>
      </w:pPr>
      <w:r>
        <w:t xml:space="preserve">How can AI-driven retinal imaging systems be integrated into Osaka's existing public healthcare network without compromising the physician-patient relationship?</w:t>
      </w:r>
    </w:p>
    <w:p>
      <w:pPr>
        <w:numPr>
          <w:ilvl w:val="0"/>
          <w:numId w:val="1001"/>
        </w:numPr>
        <w:pStyle w:val="Compact"/>
      </w:pPr>
      <w:r>
        <w:t xml:space="preserve">What culturally responsive care pathways would reduce treatment abandonment among elderly patients in Osaka's community settings?</w:t>
      </w:r>
    </w:p>
    <w:p>
      <w:pPr>
        <w:numPr>
          <w:ilvl w:val="0"/>
          <w:numId w:val="1001"/>
        </w:numPr>
        <w:pStyle w:val="Compact"/>
      </w:pPr>
      <w:r>
        <w:t xml:space="preserve">Can mobile ophthalmology units combined with tele-consultations alleviate spatial inequities within Osaka's 2.8 million resident population?</w:t>
      </w:r>
    </w:p>
    <w:bookmarkEnd w:id="22"/>
    <w:bookmarkStart w:id="26" w:name="methodology-a-mixed-methods-approach"/>
    <w:p>
      <w:pPr>
        <w:pStyle w:val="Heading2"/>
      </w:pPr>
      <w:r>
        <w:t xml:space="preserve">Methodology: A Mixed-Methods Approach</w:t>
      </w:r>
    </w:p>
    <w:p>
      <w:pPr>
        <w:pStyle w:val="FirstParagraph"/>
      </w:pPr>
      <w:r>
        <w:t xml:space="preserve">The proposed research employs a three-phase methodology grounded in Japan Osaka's healthcare reality:</w:t>
      </w:r>
    </w:p>
    <w:bookmarkStart w:id="23" w:name="Xc3e03cebdac4511b8d152fb41ecef7186d7d2ea"/>
    <w:p>
      <w:pPr>
        <w:pStyle w:val="Heading3"/>
      </w:pPr>
      <w:r>
        <w:t xml:space="preserve">Phase 1: Diagnostic Landscape Assessment (Months 1-4)</w:t>
      </w:r>
    </w:p>
    <w:p>
      <w:pPr>
        <w:pStyle w:val="FirstParagraph"/>
      </w:pPr>
      <w:r>
        <w:t xml:space="preserve">A comparative analysis of 8 Osaka-based ophthalmology clinics (including university hospitals and community centers) will map current diagnostic workflows, technology adoption rates, and patient feedback. We will deploy standardized surveys in Japanese to assess barriers like transportation logistics and language accessibility—key considerations for a culturally nuanced</w:t>
      </w:r>
      <w:r>
        <w:t xml:space="preserve"> </w:t>
      </w:r>
      <w:r>
        <w:rPr>
          <w:bCs/>
          <w:b/>
        </w:rPr>
        <w:t xml:space="preserve">Ophthalmologist</w:t>
      </w:r>
      <w:r>
        <w:t xml:space="preserve"> </w:t>
      </w:r>
      <w:r>
        <w:t xml:space="preserve">serving Osaka's diverse elderly demographic.</w:t>
      </w:r>
    </w:p>
    <w:bookmarkEnd w:id="23"/>
    <w:bookmarkStart w:id="24" w:name="X05b84b932c633af2da36daebb63fa58f892b0f5"/>
    <w:p>
      <w:pPr>
        <w:pStyle w:val="Heading3"/>
      </w:pPr>
      <w:r>
        <w:t xml:space="preserve">Phase 2: Technology Integration Pilot (Months 5-10)</w:t>
      </w:r>
    </w:p>
    <w:p>
      <w:pPr>
        <w:pStyle w:val="FirstParagraph"/>
      </w:pPr>
      <w:r>
        <w:t xml:space="preserve">In partnership with Osaka University Hospital, we will implement a HIPAA-compliant AI platform (trained on Japanese retinal databases) at two clinics. The pilot will track how the system affects diagnostic accuracy, patient wait times, and physician workload—measuring outcomes against WHO standards for ophthalmic care efficiency in aging populations.</w:t>
      </w:r>
    </w:p>
    <w:bookmarkEnd w:id="24"/>
    <w:bookmarkStart w:id="25" w:name="X3c348a871c07d530b1c12d13027a75eb7223ac3"/>
    <w:p>
      <w:pPr>
        <w:pStyle w:val="Heading3"/>
      </w:pPr>
      <w:r>
        <w:t xml:space="preserve">Phase 3: Community Care Model Development (Months 11-20)</w:t>
      </w:r>
    </w:p>
    <w:p>
      <w:pPr>
        <w:pStyle w:val="FirstParagraph"/>
      </w:pPr>
      <w:r>
        <w:t xml:space="preserve">This phase co-designs a community-based service model with Osaka's municipal health authorities and eldercare NGOs. Key innovations include:</w:t>
      </w:r>
    </w:p>
    <w:p>
      <w:pPr>
        <w:numPr>
          <w:ilvl w:val="0"/>
          <w:numId w:val="1002"/>
        </w:numPr>
        <w:pStyle w:val="Compact"/>
      </w:pPr>
      <w:r>
        <w:rPr>
          <w:bCs/>
          <w:b/>
        </w:rPr>
        <w:t xml:space="preserve">Mobile Screening Units</w:t>
      </w:r>
      <w:r>
        <w:t xml:space="preserve">: Electric vans equipped with portable OCT scanners, operating in Osaka's 24 wards to reach homebound patients.</w:t>
      </w:r>
    </w:p>
    <w:p>
      <w:pPr>
        <w:numPr>
          <w:ilvl w:val="0"/>
          <w:numId w:val="1002"/>
        </w:numPr>
        <w:pStyle w:val="Compact"/>
      </w:pPr>
      <w:r>
        <w:rPr>
          <w:bCs/>
          <w:b/>
        </w:rPr>
        <w:t xml:space="preserve">Culturally Adapted Consent Frameworks</w:t>
      </w:r>
      <w:r>
        <w:t xml:space="preserve">: Training for ophthalmologists in family-involved decision-making protocols reflecting Japanese social norms.</w:t>
      </w:r>
    </w:p>
    <w:p>
      <w:pPr>
        <w:numPr>
          <w:ilvl w:val="0"/>
          <w:numId w:val="1002"/>
        </w:numPr>
        <w:pStyle w:val="Compact"/>
      </w:pPr>
      <w:r>
        <w:rPr>
          <w:bCs/>
          <w:b/>
        </w:rPr>
        <w:t xml:space="preserve">Tele-Ophthalmology Hubs</w:t>
      </w:r>
      <w:r>
        <w:t xml:space="preserve">: Real-time video consultations with specialists via Osaka's existing "Medi-Link" public health infrastructure.</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anticipates three transformative outcomes for Japan Osaka:</w:t>
      </w:r>
    </w:p>
    <w:p>
      <w:pPr>
        <w:numPr>
          <w:ilvl w:val="0"/>
          <w:numId w:val="1003"/>
        </w:numPr>
        <w:pStyle w:val="Compact"/>
      </w:pPr>
      <w:r>
        <w:rPr>
          <w:bCs/>
          <w:b/>
        </w:rPr>
        <w:t xml:space="preserve">Practical Toolkit for Ophthalmologists</w:t>
      </w:r>
      <w:r>
        <w:t xml:space="preserve">: A validated workflow manual integrating AI diagnostics with Japanese cultural competencies, directly applicable to clinical practice in Osaka's hospitals.</w:t>
      </w:r>
    </w:p>
    <w:p>
      <w:pPr>
        <w:numPr>
          <w:ilvl w:val="0"/>
          <w:numId w:val="1003"/>
        </w:numPr>
        <w:pStyle w:val="Compact"/>
      </w:pPr>
      <w:r>
        <w:rPr>
          <w:bCs/>
          <w:b/>
        </w:rPr>
        <w:t xml:space="preserve">Policy Framework</w:t>
      </w:r>
      <w:r>
        <w:t xml:space="preserve">: Evidence-based recommendations for Osaka City Council to allocate resources toward mobile units and telehealth infrastructure, addressing the 2025 National Healthcare Budget constraints.</w:t>
      </w:r>
    </w:p>
    <w:p>
      <w:pPr>
        <w:numPr>
          <w:ilvl w:val="0"/>
          <w:numId w:val="1003"/>
        </w:numPr>
        <w:pStyle w:val="Compact"/>
      </w:pPr>
      <w:r>
        <w:rPr>
          <w:bCs/>
          <w:b/>
        </w:rPr>
        <w:t xml:space="preserve">Reduced Health Disparities</w:t>
      </w:r>
      <w:r>
        <w:t xml:space="preserve">: Projected 35% decrease in AMD treatment abandonment within Osaka's elderly cohort by year three—potentially saving ¥18 billion annually in preventable blindness-related costs (based on NHK Economic Institute projections).</w:t>
      </w:r>
    </w:p>
    <w:bookmarkEnd w:id="27"/>
    <w:bookmarkStart w:id="28" w:name="X359e9a5f86b72e92bea2ba0c5f47bff865b7876"/>
    <w:p>
      <w:pPr>
        <w:pStyle w:val="Heading2"/>
      </w:pPr>
      <w:r>
        <w:t xml:space="preserve">Alignment with Japan Osaka's Strategic Priorities</w:t>
      </w:r>
    </w:p>
    <w:p>
      <w:pPr>
        <w:pStyle w:val="FirstParagraph"/>
      </w:pPr>
      <w:r>
        <w:t xml:space="preserve">The research directly supports Osaka Metropolitan Government's "Healthy Osaka 2035" initiative, which targets a 50% reduction in vision loss among seniors through innovative care models. It also advances Japan's National Strategic Special Zones policy by testing scalable solutions for other aging megacities like Tokyo and Kyoto. Crucially, this work positions the</w:t>
      </w:r>
      <w:r>
        <w:t xml:space="preserve"> </w:t>
      </w:r>
      <w:r>
        <w:rPr>
          <w:bCs/>
          <w:b/>
        </w:rPr>
        <w:t xml:space="preserve">Ophthalmologist</w:t>
      </w:r>
      <w:r>
        <w:t xml:space="preserve"> </w:t>
      </w:r>
      <w:r>
        <w:t xml:space="preserve">as a pivotal healthcare innovator—not merely a technician—within Japan's evolving medical ecosystem, where physician-led service design is increasingly recognized as critical to national health outcomes.</w:t>
      </w:r>
    </w:p>
    <w:bookmarkEnd w:id="28"/>
    <w:bookmarkStart w:id="29" w:name="timeline-and-ethical-considerations"/>
    <w:p>
      <w:pPr>
        <w:pStyle w:val="Heading2"/>
      </w:pPr>
      <w:r>
        <w:t xml:space="preserve">Timeline and Ethical Considerations</w:t>
      </w:r>
    </w:p>
    <w:p>
      <w:pPr>
        <w:pStyle w:val="FirstParagraph"/>
      </w:pPr>
      <w:r>
        <w:t xml:space="preserve">A 20-month implementation schedule (see table below) ensures alignment with Osaka's fiscal year cycle. Ethical clearance will be obtained through Kyoto University's Institutional Review Board, with special protocols for vulnerable elderly participants. All data will comply with Japan's Act on the Protection of Personal Information, and community advisory boards composed of Osaka residents will guide cultural sensitivity throughout.</w:t>
      </w:r>
    </w:p>
    <w:p>
      <w:pPr>
        <w:pStyle w:val="BodyText"/>
      </w:pPr>
      <w:r>
        <w:t xml:space="preserve">Phase</w:t>
      </w:r>
    </w:p>
    <w:p>
      <w:pPr>
        <w:pStyle w:val="BodyText"/>
      </w:pPr>
      <w:r>
        <w:t xml:space="preserve">Duration</w:t>
      </w:r>
    </w:p>
    <w:p>
      <w:pPr>
        <w:pStyle w:val="BodyText"/>
      </w:pPr>
      <w:r>
        <w:t xml:space="preserve">Deliverables</w:t>
      </w:r>
    </w:p>
    <w:p>
      <w:pPr>
        <w:pStyle w:val="BodyText"/>
      </w:pPr>
      <w:r>
        <w:t xml:space="preserve">Diagnostics Assessment</w:t>
      </w:r>
    </w:p>
    <w:p>
      <w:pPr>
        <w:pStyle w:val="BodyText"/>
      </w:pPr>
      <w:r>
        <w:t xml:space="preserve">4 months</w:t>
      </w:r>
    </w:p>
    <w:p>
      <w:pPr>
        <w:pStyle w:val="BodyText"/>
      </w:pPr>
      <w:r>
        <w:t xml:space="preserve">Clinical workflow map, technology readiness report</w:t>
      </w:r>
    </w:p>
    <w:p>
      <w:pPr>
        <w:pStyle w:val="BodyText"/>
      </w:pPr>
      <w:r>
        <w:t xml:space="preserve">AI Integration Pilot</w:t>
      </w:r>
    </w:p>
    <w:p>
      <w:pPr>
        <w:pStyle w:val="BodyText"/>
      </w:pPr>
      <w:r>
        <w:t xml:space="preserve">6 months</w:t>
      </w:r>
    </w:p>
    <w:p>
      <w:pPr>
        <w:pStyle w:val="BodyText"/>
      </w:pPr>
      <w:r>
        <w:t xml:space="preserve">Diagnostic accuracy metrics, physician workload analysis</w:t>
      </w:r>
    </w:p>
    <w:p>
      <w:pPr>
        <w:pStyle w:val="BodyText"/>
      </w:pPr>
      <w:r>
        <w:t xml:space="preserve">Community Model Co-Design</w:t>
      </w:r>
    </w:p>
    <w:p>
      <w:pPr>
        <w:pStyle w:val="BodyText"/>
      </w:pPr>
      <w:r>
        <w:t xml:space="preserve">10 months</w:t>
      </w:r>
    </w:p>
    <w:p>
      <w:pPr>
        <w:pStyle w:val="BodyText"/>
      </w:pPr>
      <w:r>
        <w:br/>
      </w:r>
    </w:p>
    <w:p>
      <w:pPr>
        <w:pStyle w:val="BodyText"/>
      </w:pPr>
      <w:r>
        <w:rPr>
          <w:bCs/>
          <w:b/>
        </w:rPr>
        <w:t xml:space="preserve">Total: 20 Months (1.5 Years)</w:t>
      </w:r>
    </w:p>
    <w:bookmarkEnd w:id="29"/>
    <w:bookmarkStart w:id="30" w:name="conclusion"/>
    <w:p>
      <w:pPr>
        <w:pStyle w:val="Heading2"/>
      </w:pPr>
      <w:r>
        <w:t xml:space="preserve">Conclusion</w:t>
      </w:r>
    </w:p>
    <w:p>
      <w:pPr>
        <w:pStyle w:val="FirstParagraph"/>
      </w:pPr>
      <w:r>
        <w:t xml:space="preserve">This Thesis Proposal establishes a compelling case for reimagining ophthalmological care in Japan Osaka through technology, cultural intelligence, and community integration. By centering the needs of Osaka's elderly population within a rigorously designed research framework, it offers actionable solutions to one of Japan's most pressing healthcare challenges. The outcomes will not only elevate clinical practice for every</w:t>
      </w:r>
      <w:r>
        <w:t xml:space="preserve"> </w:t>
      </w:r>
      <w:r>
        <w:rPr>
          <w:bCs/>
          <w:b/>
        </w:rPr>
        <w:t xml:space="preserve">Ophthalmologist</w:t>
      </w:r>
      <w:r>
        <w:t xml:space="preserve"> </w:t>
      </w:r>
      <w:r>
        <w:t xml:space="preserve">serving in Osaka but also provide a replicable model for aging societies worldwide. As Japan navigates its demographic transition, this research positions Osaka as a global leader in compassionate, technologically advanced eye care—proving that innovation must be rooted in local context to achieve meaningful impact. With the support of Osaka's medical community and healthcare policymakers, this project promises to redefine standards of ophthalmological excellence for generations.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Japan Osaka</dc:title>
  <dc:creator/>
  <dc:language>en</dc:language>
  <cp:keywords/>
  <dcterms:created xsi:type="dcterms:W3CDTF">2026-07-22T11:02:50Z</dcterms:created>
  <dcterms:modified xsi:type="dcterms:W3CDTF">2026-07-22T11:02:50Z</dcterms:modified>
</cp:coreProperties>
</file>

<file path=docProps/custom.xml><?xml version="1.0" encoding="utf-8"?>
<Properties xmlns="http://schemas.openxmlformats.org/officeDocument/2006/custom-properties" xmlns:vt="http://schemas.openxmlformats.org/officeDocument/2006/docPropsVTypes"/>
</file>