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3c7f9d661cadc5fe4ef0f2bdda953df8fc4af76"/>
    <w:p>
      <w:pPr>
        <w:pStyle w:val="Heading1"/>
      </w:pPr>
      <w:r>
        <w:t xml:space="preserve">Thesis Proposal: Assessing the Current Landscape and Future Strategies for Ophthalmological Services in Malaysia Kuala Lumpur</w:t>
      </w:r>
    </w:p>
    <w:bookmarkStart w:id="20" w:name="introduction-and-background"/>
    <w:p>
      <w:pPr>
        <w:pStyle w:val="Heading2"/>
      </w:pPr>
      <w:r>
        <w:t xml:space="preserve">Introduction and Background</w:t>
      </w:r>
    </w:p>
    <w:p>
      <w:pPr>
        <w:pStyle w:val="FirstParagraph"/>
      </w:pPr>
      <w:r>
        <w:t xml:space="preserve">The field of ophthalmology is critically important to public health, particularly in rapidly urbanizing regions like Malaysia Kuala Lumpur. As Southeast Asia's demographic profile shifts toward an aging population and lifestyle-related diseases escalate, the demand for specialized eye care has surged exponentially. In Malaysia Kuala Lumpur—a bustling metropolis housing over 8 million residents—this trend presents a significant challenge to the existing healthcare infrastructure. According to the Malaysian Ministry of Health (MOH), visual impairment affects approximately 3.5 million Malaysians, with diabetes-related retinopathy and age-related macular degeneration emerging as leading causes in urban centers like Kuala Lumpur. This Thesis Proposal addresses the urgent need for evidence-based solutions to optimize ophthalmological services within this specific context, emphasizing the role of the Ophthalmologist as a pivotal healthcare provider.</w:t>
      </w:r>
    </w:p>
    <w:bookmarkEnd w:id="20"/>
    <w:bookmarkStart w:id="21" w:name="problem-statement"/>
    <w:p>
      <w:pPr>
        <w:pStyle w:val="Heading2"/>
      </w:pPr>
      <w:r>
        <w:t xml:space="preserve">Problem Statement</w:t>
      </w:r>
    </w:p>
    <w:p>
      <w:pPr>
        <w:pStyle w:val="FirstParagraph"/>
      </w:pPr>
      <w:r>
        <w:t xml:space="preserve">A critical gap exists between rising demand for specialized eye care and the current capacity of ophthalmological services in Malaysia Kuala Lumpur. While national initiatives like Vision 2030 target blindness prevention, fragmented service delivery, uneven specialist distribution (with 75% of Ophthalmologists concentrated in urban KL versus rural areas), and long patient wait times (averaging 8–12 weeks for non-emergent cases) persist. These challenges compromise early intervention for conditions like glaucoma and diabetic retinopathy, directly impacting quality of life and economic productivity. This Thesis Proposal will rigorously examine systemic barriers to effective ophthalmic care in Kuala Lumpur, positioning the Ophthalmologist within a broader healthcare ecosystem where timely diagnosis is paramount.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ophthalmological service accessibility across public and private facilities in Kuala Lumpur, identifying geographic and socioeconomic disparities.</w:t>
      </w:r>
    </w:p>
    <w:p>
      <w:pPr>
        <w:numPr>
          <w:ilvl w:val="0"/>
          <w:numId w:val="1001"/>
        </w:numPr>
        <w:pStyle w:val="Compact"/>
      </w:pPr>
      <w:r>
        <w:t xml:space="preserve">To assess the workflow efficiency, resource allocation (equipment, staff), and patient outcomes at major ophthalmology centers in Malaysia Kuala Lumpur.</w:t>
      </w:r>
    </w:p>
    <w:p>
      <w:pPr>
        <w:numPr>
          <w:ilvl w:val="0"/>
          <w:numId w:val="1001"/>
        </w:numPr>
        <w:pStyle w:val="Compact"/>
      </w:pPr>
      <w:r>
        <w:t xml:space="preserve">To evaluate the impact of digital health tools (e.g., tele-ophthalmology) on reducing diagnostic delays for high-risk populations in KL.</w:t>
      </w:r>
    </w:p>
    <w:p>
      <w:pPr>
        <w:numPr>
          <w:ilvl w:val="0"/>
          <w:numId w:val="1001"/>
        </w:numPr>
        <w:pStyle w:val="Compact"/>
      </w:pPr>
      <w:r>
        <w:t xml:space="preserve">To develop a culturally tailored framework for integrating primary care screening with specialized Ophthalmologist services, specifically designed for Malaysia's urban demographic.</w:t>
      </w:r>
    </w:p>
    <w:bookmarkEnd w:id="22"/>
    <w:bookmarkStart w:id="23" w:name="literature-review"/>
    <w:p>
      <w:pPr>
        <w:pStyle w:val="Heading2"/>
      </w:pPr>
      <w:r>
        <w:t xml:space="preserve">Literature Review</w:t>
      </w:r>
    </w:p>
    <w:p>
      <w:pPr>
        <w:pStyle w:val="FirstParagraph"/>
      </w:pPr>
      <w:r>
        <w:t xml:space="preserve">Existing studies on ophthalmology in Southeast Asia highlight regional challenges, yet few focus exclusively on Malaysia Kuala Lumpur. A 2021 study by the Asian Journal of Ophthalmology noted a 30% annual increase in diabetic retinopathy cases across KL hospitals but offered no localized intervention models. Similarly, MOH reports confirm a nationwide Ophthalmologist shortage (1 per 75,000 people vs. WHO’s recommended 1:50,000), with KL bearing the brunt of this deficit due to population density. This Thesis Proposal builds on these findings by addressing two unmet needs: first, contextualizing data within KL’s unique urban landscape (e.g., traffic congestion delaying patient access), and second, co-designing solutions with local Ophthalmologists rather than importing foreign models. Crucially, it will examine how cultural factors—such as preferences for traditional medicine among certain demographics—affect adherence to ophthalmic care in Malaysia Kuala Lumpur.</w:t>
      </w:r>
    </w:p>
    <w:bookmarkEnd w:id="23"/>
    <w:bookmarkStart w:id="24" w:name="methodology"/>
    <w:p>
      <w:pPr>
        <w:pStyle w:val="Heading2"/>
      </w:pPr>
      <w:r>
        <w:t xml:space="preserve">Methodology</w:t>
      </w:r>
    </w:p>
    <w:p>
      <w:pPr>
        <w:pStyle w:val="FirstParagraph"/>
      </w:pPr>
      <w:r>
        <w:t xml:space="preserve">This mixed-methods research employs a three-phase approach tailored to Malaysia's healthcare environment:</w:t>
      </w:r>
    </w:p>
    <w:p>
      <w:pPr>
        <w:numPr>
          <w:ilvl w:val="0"/>
          <w:numId w:val="1002"/>
        </w:numPr>
        <w:pStyle w:val="Compact"/>
      </w:pPr>
      <w:r>
        <w:rPr>
          <w:bCs/>
          <w:b/>
        </w:rPr>
        <w:t xml:space="preserve">Phase 1 (Quantitative):</w:t>
      </w:r>
      <w:r>
        <w:t xml:space="preserve"> </w:t>
      </w:r>
      <w:r>
        <w:t xml:space="preserve">Survey of 300+ patients across 15 public/private ophthalmology clinics in KL, measuring wait times, referral pathways, and patient satisfaction. Data will be cross-referenced with MOH electronic health records.</w:t>
      </w:r>
    </w:p>
    <w:p>
      <w:pPr>
        <w:numPr>
          <w:ilvl w:val="0"/>
          <w:numId w:val="1002"/>
        </w:numPr>
        <w:pStyle w:val="Compact"/>
      </w:pPr>
      <w:r>
        <w:rPr>
          <w:bCs/>
          <w:b/>
        </w:rPr>
        <w:t xml:space="preserve">Phase 2 (Qualitative):</w:t>
      </w:r>
      <w:r>
        <w:t xml:space="preserve"> </w:t>
      </w:r>
      <w:r>
        <w:t xml:space="preserve">In-depth interviews with 30 Ophthalmologist practitioners from diverse practice settings (public hospitals like Hospital Kuala Lumpur, private chains like Gleneagles) to explore workflow challenges and resource constraints.</w:t>
      </w:r>
    </w:p>
    <w:p>
      <w:pPr>
        <w:numPr>
          <w:ilvl w:val="0"/>
          <w:numId w:val="1002"/>
        </w:numPr>
        <w:pStyle w:val="Compact"/>
      </w:pPr>
      <w:r>
        <w:rPr>
          <w:bCs/>
          <w:b/>
        </w:rPr>
        <w:t xml:space="preserve">Phase 3 (Action Research):</w:t>
      </w:r>
      <w:r>
        <w:t xml:space="preserve"> </w:t>
      </w:r>
      <w:r>
        <w:t xml:space="preserve">Co-creation workshops in collaboration with the Malaysian Society of Ophthalmology to prototype a KL-specific digital triage system, piloted in two districts (e.g., Petaling Jaya and Bangsar).</w:t>
      </w:r>
    </w:p>
    <w:p>
      <w:pPr>
        <w:pStyle w:val="FirstParagraph"/>
      </w:pPr>
      <w:r>
        <w:t xml:space="preserve">Data analysis will utilize SPSS for quantitative trends and NVivo for thematic coding of interviews. Ethical approval will be secured from the National Medical Research Ethics Committee (NMREC), ensuring alignment with Malaysia's Medical Act 1971.</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spatial map of ophthalmology service gaps in Kuala Lumpur, revealing "blind spots" where rural-adjacent urban communities face the highest barriers; (2) A validated toolkit for Ophthalmologist-led tele-screening programs targeting high-risk groups like diabetic patients in KL's low-income neighborhoods; and (3) Policy briefs for MOH to reallocate resources toward preventative care hubs. These outcomes directly address Malaysia Kuala Lumpur’s goal of reducing avoidable blindness by 50% by 2030 under its National Eye Health Programme.</w:t>
      </w:r>
    </w:p>
    <w:p>
      <w:pPr>
        <w:pStyle w:val="BodyText"/>
      </w:pPr>
      <w:r>
        <w:t xml:space="preserve">The significance extends beyond academia. By centering the Ophthalmologist's on-ground experience—rather than solely relying on statistical models—this research ensures solutions are pragmatically viable within KL’s resource constraints. For instance, findings may guide the deployment of portable retinal scanners in community health centers, reducing reliance on clinic-based referrals. Additionally, the proposal aligns with Malaysia’s National Digital Transformation Strategy 2025 by proposing a scalable tele-ophthalmology model for Kuala Lumpur and other urban centers.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Inception Report, Ethical Approval Docs</w:t>
      </w:r>
    </w:p>
    <w:p>
      <w:pPr>
        <w:pStyle w:val="BodyText"/>
      </w:pPr>
      <w:r>
        <w:t xml:space="preserve">Data Collection (Surveys/Interviews)</w:t>
      </w:r>
    </w:p>
    <w:p>
      <w:pPr>
        <w:pStyle w:val="BodyText"/>
      </w:pPr>
      <w:r>
        <w:t xml:space="preserve">4–7</w:t>
      </w:r>
    </w:p>
    <w:p>
      <w:pPr>
        <w:pStyle w:val="BodyText"/>
      </w:pPr>
      <w:r>
        <w:t xml:space="preserve">&lt;</w:t>
      </w:r>
    </w:p>
    <w:bookmarkEnd w:id="26"/>
    <w:bookmarkStart w:id="27" w:name="conclusion"/>
    <w:p>
      <w:pPr>
        <w:pStyle w:val="Heading2"/>
      </w:pPr>
      <w:r>
        <w:t xml:space="preserve">Conclusion</w:t>
      </w:r>
    </w:p>
    <w:p>
      <w:pPr>
        <w:pStyle w:val="FirstParagraph"/>
      </w:pPr>
      <w:r>
        <w:t xml:space="preserve">This Thesis Proposal establishes a critical foundation for elevating ophthalmological care in Malaysia Kuala Lumpur. It transcends generic healthcare studies by anchoring research within the city’s unique socioeconomic fabric—where cultural nuances, urban sprawl, and policy implementation intersect. The Ophthalmologist emerges not merely as a clinical specialist but as an essential catalyst for systemic innovation in KL’s health landscape. By prioritizing actionable insights over theoretical frameworks, this work promises to deliver tangible value to patients, practitioners, and policymakers alike. As Kuala Lumpur evolves into a regional healthcare hub, optimizing ophthalmic services will be indispensable for achieving equitable health outcomes and fulfilling Malaysia’s commitment to "Healthier Malaysia." This Thesis Proposal is thus positioned as an urgent call for evidence-based reform in the heart of Southeast Asia's most dynamic urban ecosystem.</w:t>
      </w:r>
    </w:p>
    <w:bookmarkEnd w:id="27"/>
    <w:bookmarkStart w:id="28" w:name="references-illustrative"/>
    <w:p>
      <w:pPr>
        <w:pStyle w:val="Heading2"/>
      </w:pPr>
      <w:r>
        <w:t xml:space="preserve">References (Illustrative)</w:t>
      </w:r>
    </w:p>
    <w:p>
      <w:pPr>
        <w:numPr>
          <w:ilvl w:val="0"/>
          <w:numId w:val="1003"/>
        </w:numPr>
        <w:pStyle w:val="Compact"/>
      </w:pPr>
      <w:r>
        <w:t xml:space="preserve">Malaysian Ministry of Health. (2023). *National Eye Health Programme: Annual Report*. Kuala Lumpur.</w:t>
      </w:r>
    </w:p>
    <w:p>
      <w:pPr>
        <w:numPr>
          <w:ilvl w:val="0"/>
          <w:numId w:val="1003"/>
        </w:numPr>
        <w:pStyle w:val="Compact"/>
      </w:pPr>
      <w:r>
        <w:t xml:space="preserve">Sivakumar, M. et al. (2021). "Urban-Rural Disparities in Ophthalmic Care Access in Malaysia." *Asian Journal of Ophthalmology*, 15(4), 78-89.</w:t>
      </w:r>
    </w:p>
    <w:p>
      <w:pPr>
        <w:numPr>
          <w:ilvl w:val="0"/>
          <w:numId w:val="1003"/>
        </w:numPr>
        <w:pStyle w:val="Compact"/>
      </w:pPr>
      <w:r>
        <w:t xml:space="preserve">World Health Organization. (2020). *Global Report on Vision*. Geneva: WHO.</w:t>
      </w:r>
    </w:p>
    <w:p>
      <w:pPr>
        <w:numPr>
          <w:ilvl w:val="0"/>
          <w:numId w:val="1003"/>
        </w:numPr>
        <w:pStyle w:val="Compact"/>
      </w:pPr>
      <w:r>
        <w:t xml:space="preserve">Malaysian Society of Ophthalmology. (2022). *Guidelines for Tele-Ophthalmology in Urban Settings*. KL: MSO Press.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Malaysia Kuala Lumpur</dc:title>
  <dc:creator/>
  <dc:language>en</dc:language>
  <cp:keywords/>
  <dcterms:created xsi:type="dcterms:W3CDTF">2025-12-11T10:59:36Z</dcterms:created>
  <dcterms:modified xsi:type="dcterms:W3CDTF">2025-12-11T10:59:36Z</dcterms:modified>
</cp:coreProperties>
</file>

<file path=docProps/custom.xml><?xml version="1.0" encoding="utf-8"?>
<Properties xmlns="http://schemas.openxmlformats.org/officeDocument/2006/custom-properties" xmlns:vt="http://schemas.openxmlformats.org/officeDocument/2006/docPropsVTypes"/>
</file>