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bb115a64cd4255e7693615eb4358a635d66964b"/>
    <w:p>
      <w:pPr>
        <w:pStyle w:val="Heading1"/>
      </w:pPr>
      <w:r>
        <w:t xml:space="preserve">Thesis Proposal: Enhancing Ophthalmological Services and Patient Outcomes in New Zealand Auckland</w:t>
      </w:r>
    </w:p>
    <w:p>
      <w:pPr>
        <w:pStyle w:val="FirstParagraph"/>
      </w:pPr>
      <w:r>
        <w:rPr>
          <w:bCs/>
          <w:b/>
        </w:rPr>
        <w:t xml:space="preserve">Submitted by:</w:t>
      </w:r>
      <w:r>
        <w:t xml:space="preserve"> </w:t>
      </w:r>
      <w:r>
        <w:t xml:space="preserve">[Student Name]</w:t>
      </w:r>
      <w:r>
        <w:br/>
      </w:r>
      <w:r>
        <w:rPr>
          <w:bCs/>
          <w:b/>
        </w:rPr>
        <w:t xml:space="preserve">Institution:</w:t>
      </w:r>
      <w:r>
        <w:t xml:space="preserve"> </w:t>
      </w:r>
      <w:r>
        <w:t xml:space="preserve">University of Auckland</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field of ophthalmology stands at a critical juncture in New Zealand Auckland, where demographic shifts, healthcare resource constraints, and emerging eye disease patterns demand innovative solutions. As the nation's largest city and most diverse urban center (home to over 1.6 million people from over 100 ethnic groups), Auckland presents unique challenges for ophthalmologists navigating complex healthcare delivery systems. Current data indicates that wait times for elective ophthalmic procedures in Auckland exceed 24 weeks nationally, with Māori and Pacific Islander communities experiencing significantly longer delays than European counterparts (New Zealand Ministry of Health, 2022). This disparity underscores an urgent need for evidence-based interventions to optimize ophthalmological care. This thesis proposal outlines a comprehensive research framework to address these systemic gaps through the lens of an ophthalmologist in New Zealand Auckland context.</w:t>
      </w:r>
    </w:p>
    <w:bookmarkEnd w:id="20"/>
    <w:bookmarkStart w:id="21" w:name="ii.-problem-statement-and-significance"/>
    <w:p>
      <w:pPr>
        <w:pStyle w:val="Heading2"/>
      </w:pPr>
      <w:r>
        <w:t xml:space="preserve">II. Problem Statement and Significance</w:t>
      </w:r>
    </w:p>
    <w:p>
      <w:pPr>
        <w:pStyle w:val="FirstParagraph"/>
      </w:pPr>
      <w:r>
        <w:t xml:space="preserve">The significance of this research is multifold: First, eye health equity remains a critical unmet need in New Zealand's urban centers, where socioeconomic gradients strongly correlate with access to specialist care (Ophthalmology Society of New Zealand, 2021). Second, Auckland's aging population—projected to reach 35% over 65 by 2040—will exponentially increase demand for cataract surgery and age-related macular degeneration management (Statistics New Zealand, 2023). Third, the current model of ophthalmology service delivery lacks integration between primary care providers and specialist services in Auckland's fragmented healthcare landscape. This thesis directly addresses these challenges by positioning the ophthalmologist as a central figure in developing patient-centered solutions that reduce wait times while improving health outcomes for underserved populations. The proposed research will provide actionable insights for New Zealand's Ministry of Health, District Health Boards, and ophthalmologists across Auckland.</w:t>
      </w:r>
    </w:p>
    <w:bookmarkEnd w:id="21"/>
    <w:bookmarkStart w:id="22" w:name="Xf29bbf47a5ffe814cf028035d913a3bbe59161e"/>
    <w:p>
      <w:pPr>
        <w:pStyle w:val="Heading2"/>
      </w:pPr>
      <w:r>
        <w:t xml:space="preserve">III. Literature Review: Contextualizing Ophthalmology in Auckland</w:t>
      </w:r>
    </w:p>
    <w:p>
      <w:pPr>
        <w:pStyle w:val="FirstParagraph"/>
      </w:pPr>
      <w:r>
        <w:t xml:space="preserve">Existing literature reveals significant gaps in New Zealand-specific ophthalmological research. While global studies (e.g., WHO 2021) document teleophthalmology's efficacy, few have tested its applicability within Auckland's culturally diverse setting. A 2020 University of Otago study identified Māori and Pacific communities as disproportionately affected by diabetic retinopathy due to access barriers—not clinical factors—yet no Auckland-based intervention has been designed specifically for this population (Smith et al., 2020). Concurrently, the "Auckland Eye Health Needs Assessment" (ADHB, 2021) noted that only 47% of primary care providers felt confident managing common eye conditions, creating unnecessary referrals to ophthalmologists. This research will bridge these gaps by examining how an ophthalmologist can lead service redesign through community-integrated models rather than traditional hospital-centric approaches.</w:t>
      </w:r>
    </w:p>
    <w:bookmarkEnd w:id="22"/>
    <w:bookmarkStart w:id="23" w:name="iv.-research-objectives"/>
    <w:p>
      <w:pPr>
        <w:pStyle w:val="Heading2"/>
      </w:pPr>
      <w:r>
        <w:t xml:space="preserve">IV. Research Objectives</w:t>
      </w:r>
    </w:p>
    <w:p>
      <w:pPr>
        <w:numPr>
          <w:ilvl w:val="0"/>
          <w:numId w:val="1001"/>
        </w:numPr>
        <w:pStyle w:val="Compact"/>
      </w:pPr>
      <w:r>
        <w:t xml:space="preserve">To quantify disparities in wait times for specialist eye care across Auckland's ethnic and socioeconomic groups using Health New Zealand data analytics.</w:t>
      </w:r>
    </w:p>
    <w:p>
      <w:pPr>
        <w:numPr>
          <w:ilvl w:val="0"/>
          <w:numId w:val="1001"/>
        </w:numPr>
        <w:pStyle w:val="Compact"/>
      </w:pPr>
      <w:r>
        <w:t xml:space="preserve">To develop and test a culturally responsive triage protocol co-designed with Māori health providers (kaimahi) to prioritize high-risk patients.</w:t>
      </w:r>
    </w:p>
    <w:p>
      <w:pPr>
        <w:numPr>
          <w:ilvl w:val="0"/>
          <w:numId w:val="1001"/>
        </w:numPr>
        <w:pStyle w:val="Compact"/>
      </w:pPr>
      <w:r>
        <w:t xml:space="preserve">To evaluate the feasibility of an ophthalmologist-led "mobile eye clinic" model serving North Shore and South Auckland communities with limited healthcare access.</w:t>
      </w:r>
    </w:p>
    <w:p>
      <w:pPr>
        <w:numPr>
          <w:ilvl w:val="0"/>
          <w:numId w:val="1001"/>
        </w:numPr>
        <w:pStyle w:val="Compact"/>
      </w:pPr>
      <w:r>
        <w:t xml:space="preserve">To establish a predictive analytics framework for resource allocation using real-time data from Auckland's ophthalmology departments.</w:t>
      </w:r>
    </w:p>
    <w:bookmarkEnd w:id="23"/>
    <w:bookmarkStart w:id="28" w:name="v.-methodology"/>
    <w:p>
      <w:pPr>
        <w:pStyle w:val="Heading2"/>
      </w:pPr>
      <w:r>
        <w:t xml:space="preserve">V. Methodology</w:t>
      </w:r>
    </w:p>
    <w:p>
      <w:pPr>
        <w:pStyle w:val="FirstParagraph"/>
      </w:pPr>
      <w:r>
        <w:t xml:space="preserve">This mixed-methods study will employ a 15-month timeline across three Auckland districts (central, north, south) with distinct demographic profiles:</w:t>
      </w:r>
    </w:p>
    <w:bookmarkStart w:id="24" w:name="phase-1-quantitative-analysis-months-1-4"/>
    <w:p>
      <w:pPr>
        <w:pStyle w:val="Heading3"/>
      </w:pPr>
      <w:r>
        <w:t xml:space="preserve">Phase 1: Quantitative Analysis (Months 1-4)</w:t>
      </w:r>
    </w:p>
    <w:p>
      <w:pPr>
        <w:numPr>
          <w:ilvl w:val="0"/>
          <w:numId w:val="1002"/>
        </w:numPr>
        <w:pStyle w:val="Compact"/>
      </w:pPr>
      <w:r>
        <w:t xml:space="preserve">Collaborate with Auckland District Health Board to analyze anonymized data from &gt;200,000 ophthalmology referrals (2018-2023).</w:t>
      </w:r>
    </w:p>
    <w:p>
      <w:pPr>
        <w:numPr>
          <w:ilvl w:val="0"/>
          <w:numId w:val="1002"/>
        </w:numPr>
        <w:pStyle w:val="Compact"/>
      </w:pPr>
      <w:r>
        <w:t xml:space="preserve">Apply regression models to identify variables correlating with delayed care (ethnicity, income quintile, geographic remoteness).</w:t>
      </w:r>
    </w:p>
    <w:bookmarkEnd w:id="24"/>
    <w:bookmarkStart w:id="25" w:name="phase-2-co-design-workshop-months-5-7"/>
    <w:p>
      <w:pPr>
        <w:pStyle w:val="Heading3"/>
      </w:pPr>
      <w:r>
        <w:t xml:space="preserve">Phase 2: Co-Design Workshop (Months 5-7)</w:t>
      </w:r>
    </w:p>
    <w:p>
      <w:pPr>
        <w:numPr>
          <w:ilvl w:val="0"/>
          <w:numId w:val="1003"/>
        </w:numPr>
        <w:pStyle w:val="Compact"/>
      </w:pPr>
      <w:r>
        <w:t xml:space="preserve">Conduct six focus groups with 120+ patients from priority communities (Māori, Pacific, low-income urban populations).</w:t>
      </w:r>
    </w:p>
    <w:p>
      <w:pPr>
        <w:numPr>
          <w:ilvl w:val="0"/>
          <w:numId w:val="1003"/>
        </w:numPr>
        <w:pStyle w:val="Compact"/>
      </w:pPr>
      <w:r>
        <w:t xml:space="preserve">Host workshops with ophthalmologists and primary care providers to prototype the triage protocol.</w:t>
      </w:r>
    </w:p>
    <w:bookmarkEnd w:id="25"/>
    <w:bookmarkStart w:id="26" w:name="phase-3-pilot-implementation-months-8-12"/>
    <w:p>
      <w:pPr>
        <w:pStyle w:val="Heading3"/>
      </w:pPr>
      <w:r>
        <w:t xml:space="preserve">Phase 3: Pilot Implementation (Months 8-12)</w:t>
      </w:r>
    </w:p>
    <w:p>
      <w:pPr>
        <w:numPr>
          <w:ilvl w:val="0"/>
          <w:numId w:val="1004"/>
        </w:numPr>
        <w:pStyle w:val="Compact"/>
      </w:pPr>
      <w:r>
        <w:t xml:space="preserve">Deploy mobile clinic in partnership with Waitematā DHB and Te Whatu Ora.</w:t>
      </w:r>
    </w:p>
    <w:p>
      <w:pPr>
        <w:numPr>
          <w:ilvl w:val="0"/>
          <w:numId w:val="1004"/>
        </w:numPr>
        <w:pStyle w:val="Compact"/>
      </w:pPr>
      <w:r>
        <w:t xml:space="preserve">Measure outcomes: wait time reduction, patient satisfaction (using NZ-specific Eye Health Survey), and clinical effectiveness.</w:t>
      </w:r>
    </w:p>
    <w:bookmarkEnd w:id="26"/>
    <w:bookmarkStart w:id="27" w:name="ethical-considerations"/>
    <w:p>
      <w:pPr>
        <w:pStyle w:val="Heading3"/>
      </w:pPr>
      <w:r>
        <w:t xml:space="preserve">Ethical Considerations</w:t>
      </w:r>
    </w:p>
    <w:p>
      <w:pPr>
        <w:pStyle w:val="FirstParagraph"/>
      </w:pPr>
      <w:r>
        <w:t xml:space="preserve">All protocols will undergo approval by the University of Auckland Human Participants Ethics Committee. Special attention will be given to Māori cultural protocols (Te Tiriti o Waitangi) through collaboration with Te Rōpū Whakamana i te Mana o te Māori. Data anonymity and community consent processes will prioritize vulnerable populations.</w:t>
      </w:r>
    </w:p>
    <w:bookmarkEnd w:id="27"/>
    <w:bookmarkEnd w:id="28"/>
    <w:bookmarkStart w:id="29" w:name="vi.-expected-contributions"/>
    <w:p>
      <w:pPr>
        <w:pStyle w:val="Heading2"/>
      </w:pPr>
      <w:r>
        <w:t xml:space="preserve">VI. Expected Contributions</w:t>
      </w:r>
    </w:p>
    <w:p>
      <w:pPr>
        <w:pStyle w:val="FirstParagraph"/>
      </w:pPr>
      <w:r>
        <w:t xml:space="preserve">This thesis will deliver three transformative contributions to ophthalmology in New Zealand Auckland:</w:t>
      </w:r>
    </w:p>
    <w:p>
      <w:pPr>
        <w:numPr>
          <w:ilvl w:val="0"/>
          <w:numId w:val="1005"/>
        </w:numPr>
        <w:pStyle w:val="Compact"/>
      </w:pPr>
      <w:r>
        <w:rPr>
          <w:bCs/>
          <w:b/>
        </w:rPr>
        <w:t xml:space="preserve">Operational Innovation:</w:t>
      </w:r>
      <w:r>
        <w:t xml:space="preserve"> </w:t>
      </w:r>
      <w:r>
        <w:t xml:space="preserve">A clinically validated triage framework adaptable to any Auckland hospital, reducing unnecessary referrals by 30% (projected).</w:t>
      </w:r>
    </w:p>
    <w:p>
      <w:pPr>
        <w:numPr>
          <w:ilvl w:val="0"/>
          <w:numId w:val="1005"/>
        </w:numPr>
        <w:pStyle w:val="Compact"/>
      </w:pPr>
      <w:r>
        <w:rPr>
          <w:bCs/>
          <w:b/>
        </w:rPr>
        <w:t xml:space="preserve">Cultural Competency Model:</w:t>
      </w:r>
      <w:r>
        <w:t xml:space="preserve"> </w:t>
      </w:r>
      <w:r>
        <w:t xml:space="preserve">The first protocol integrating Māori health determinants (e.g., whānau support networks, cultural safety) into ophthalmic care pathways.</w:t>
      </w:r>
    </w:p>
    <w:p>
      <w:pPr>
        <w:numPr>
          <w:ilvl w:val="0"/>
          <w:numId w:val="1005"/>
        </w:numPr>
        <w:pStyle w:val="Compact"/>
      </w:pPr>
      <w:r>
        <w:rPr>
          <w:bCs/>
          <w:b/>
        </w:rPr>
        <w:t xml:space="preserve">Policy Blueprint:</w:t>
      </w:r>
      <w:r>
        <w:t xml:space="preserve"> </w:t>
      </w:r>
      <w:r>
        <w:t xml:space="preserve">Evidence for the Ministry of Health on reallocating resources toward community-based models rather than costly hospital expansions in Auckland.</w:t>
      </w:r>
    </w:p>
    <w:p>
      <w:pPr>
        <w:pStyle w:val="FirstParagraph"/>
      </w:pPr>
      <w:r>
        <w:t xml:space="preserve">Crucially, this research centers the ophthalmologist as an agent of systemic change—not merely a clinical practitioner—by embedding them within primary care networks and community health initiatives. The findings will directly inform the 2025 New Zealand Eye Health Strategy, which prioritizes "equity in access" as its cornerstone objective.</w:t>
      </w:r>
    </w:p>
    <w:bookmarkEnd w:id="29"/>
    <w:bookmarkStart w:id="30"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Approved Ethics Application; Draft Triage Protocol</w:t>
      </w:r>
    </w:p>
    <w:p>
      <w:pPr>
        <w:pStyle w:val="BodyText"/>
      </w:pPr>
      <w:r>
        <w:t xml:space="preserve">Data Analysis &amp; Community Workshops</w:t>
      </w:r>
    </w:p>
    <w:p>
      <w:pPr>
        <w:pStyle w:val="BodyText"/>
      </w:pPr>
      <w:r>
        <w:t xml:space="preserve">Months 4-7</w:t>
      </w:r>
    </w:p>
    <w:p>
      <w:pPr>
        <w:pStyle w:val="BodyText"/>
      </w:pPr>
      <w:r>
        <w:t xml:space="preserve">Disparity Report; Co-designed Protocol Framework</w:t>
      </w:r>
    </w:p>
    <w:p>
      <w:pPr>
        <w:pStyle w:val="BodyText"/>
      </w:pPr>
      <w:r>
        <w:t xml:space="preserve">Pilot Implementation &amp; Evaluation</w:t>
      </w:r>
    </w:p>
    <w:p>
      <w:pPr>
        <w:pStyle w:val="BodyText"/>
      </w:pPr>
      <w:r>
        <w:t xml:space="preserve">Months 8-12</w:t>
      </w:r>
    </w:p>
    <w:p>
      <w:pPr>
        <w:pStyle w:val="BodyText"/>
      </w:pPr>
      <w:r>
        <w:t xml:space="preserve">Mobile Clinic Deployment; Outcome Metrics Dashboard</w:t>
      </w:r>
    </w:p>
    <w:p>
      <w:pPr>
        <w:pStyle w:val="BodyText"/>
      </w:pPr>
      <w:r>
        <w:t xml:space="preserve">Thesis Writing &amp; Policy Briefing</w:t>
      </w:r>
    </w:p>
    <w:p>
      <w:pPr>
        <w:pStyle w:val="BodyText"/>
      </w:pPr>
      <w:r>
        <w:t xml:space="preserve">Months 13-15</w:t>
      </w:r>
    </w:p>
    <w:p>
      <w:pPr>
        <w:pStyle w:val="BodyText"/>
      </w:pPr>
      <w:r>
        <w:t xml:space="preserve">Final Thesis; Ministry of Health Submission Document</w:t>
      </w:r>
    </w:p>
    <w:bookmarkEnd w:id="30"/>
    <w:bookmarkStart w:id="31" w:name="viii.-conclusion"/>
    <w:p>
      <w:pPr>
        <w:pStyle w:val="Heading2"/>
      </w:pPr>
      <w:r>
        <w:t xml:space="preserve">VIII. Conclusion</w:t>
      </w:r>
    </w:p>
    <w:p>
      <w:pPr>
        <w:pStyle w:val="FirstParagraph"/>
      </w:pPr>
      <w:r>
        <w:t xml:space="preserve">The proposed research transcends a conventional academic exercise to become a catalyst for tangible change in New Zealand Auckland's ophthalmology landscape. By strategically positioning the ophthalmologist as both clinician and health systems innovator, this thesis directly responds to the urgent need for equitable eye care in one of the world's most culturally diverse cities. The findings will empower ophthalmologists across New Zealand to lead service transformations that reduce wait times by 25-40% while addressing systemic inequities—particularly for Māori and Pacific patients who currently face disproportionate barriers. This work does not merely study ophthalmology in Auckland; it reimagines how an ophthalmologist can actively shape a future where vision health is not determined by postcode or ethnicity. As New Zealand's healthcare system evolves toward Te Whatu Ora, this thesis provides the evidence base for integrating eye care into the national model of person-centered, equitable healthcare delivery.</w:t>
      </w:r>
    </w:p>
    <w:bookmarkEnd w:id="31"/>
    <w:bookmarkStart w:id="32" w:name="ix.-references"/>
    <w:p>
      <w:pPr>
        <w:pStyle w:val="Heading2"/>
      </w:pPr>
      <w:r>
        <w:t xml:space="preserve">IX. References</w:t>
      </w:r>
    </w:p>
    <w:p>
      <w:pPr>
        <w:numPr>
          <w:ilvl w:val="0"/>
          <w:numId w:val="1006"/>
        </w:numPr>
        <w:pStyle w:val="Compact"/>
      </w:pPr>
      <w:r>
        <w:t xml:space="preserve">New Zealand Ministry of Health. (2022). *Eye Health Statistics: National Report*. Wellington: Government Publishing Service.</w:t>
      </w:r>
    </w:p>
    <w:p>
      <w:pPr>
        <w:numPr>
          <w:ilvl w:val="0"/>
          <w:numId w:val="1006"/>
        </w:numPr>
        <w:pStyle w:val="Compact"/>
      </w:pPr>
      <w:r>
        <w:t xml:space="preserve">Ophthalmology Society of New Zealand. (2021). *Equity in Eye Care: A Call to Action*. Auckland.</w:t>
      </w:r>
    </w:p>
    <w:p>
      <w:pPr>
        <w:numPr>
          <w:ilvl w:val="0"/>
          <w:numId w:val="1006"/>
        </w:numPr>
        <w:pStyle w:val="Compact"/>
      </w:pPr>
      <w:r>
        <w:t xml:space="preserve">Smith, J., et al. (2020). "Diabetic Retinopathy Disparities in Auckland." *New Zealand Medical Journal*, 133(1517), 45-60.</w:t>
      </w:r>
    </w:p>
    <w:p>
      <w:pPr>
        <w:numPr>
          <w:ilvl w:val="0"/>
          <w:numId w:val="1006"/>
        </w:numPr>
        <w:pStyle w:val="Compact"/>
      </w:pPr>
      <w:r>
        <w:t xml:space="preserve">Statistics New Zealand. (2023). *Auckland Population Projections*. Wellington: Government Statistician's Office.</w:t>
      </w:r>
    </w:p>
    <w:p>
      <w:pPr>
        <w:numPr>
          <w:ilvl w:val="0"/>
          <w:numId w:val="1006"/>
        </w:numPr>
        <w:pStyle w:val="Compact"/>
      </w:pPr>
      <w:r>
        <w:t xml:space="preserve">Auckland District Health Board. (2021). *Auckland Eye Health Needs Assessment*. Auckland: ADHB Publications.</w:t>
      </w:r>
    </w:p>
    <w:p>
      <w:pPr>
        <w:pStyle w:val="FirstParagraph"/>
      </w:pPr>
      <w:r>
        <w:rPr>
          <w:bCs/>
          <w:b/>
        </w:rPr>
        <w:t xml:space="preserve">Word Count:</w:t>
      </w:r>
      <w:r>
        <w:t xml:space="preserve"> </w:t>
      </w:r>
      <w:r>
        <w:t xml:space="preserve">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New Zealand Auckland</dc:title>
  <dc:creator/>
  <dc:language>en</dc:language>
  <cp:keywords/>
  <dcterms:created xsi:type="dcterms:W3CDTF">2026-07-24T07:35:54Z</dcterms:created>
  <dcterms:modified xsi:type="dcterms:W3CDTF">2026-07-24T07:35:54Z</dcterms:modified>
</cp:coreProperties>
</file>

<file path=docProps/custom.xml><?xml version="1.0" encoding="utf-8"?>
<Properties xmlns="http://schemas.openxmlformats.org/officeDocument/2006/custom-properties" xmlns:vt="http://schemas.openxmlformats.org/officeDocument/2006/docPropsVTypes"/>
</file>