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86fe2986b11e0e3b50734d49985eac5fd6519e1"/>
    <w:p>
      <w:pPr>
        <w:pStyle w:val="Heading1"/>
      </w:pPr>
      <w:r>
        <w:t xml:space="preserve">Thesis Proposal: Integrating Teleophthalmology and Community-Based Screening to Address Ocular Health Disparities in New Zealand Wellington</w:t>
      </w:r>
    </w:p>
    <w:bookmarkStart w:id="20" w:name="introduction"/>
    <w:p>
      <w:pPr>
        <w:pStyle w:val="Heading2"/>
      </w:pPr>
      <w:r>
        <w:t xml:space="preserve">Introduction</w:t>
      </w:r>
    </w:p>
    <w:p>
      <w:pPr>
        <w:pStyle w:val="FirstParagraph"/>
      </w:pPr>
      <w:r>
        <w:t xml:space="preserve">The provision of comprehensive ophthalmic services remains a critical challenge across New Zealand, particularly in the diverse urban-rural landscape of Wellington. As the nation's capital and a hub for both healthcare and indigenous Māori communities, Wellington faces unique demographic pressures including an aging population (projected to reach 21% over 65 by 2030), significant socioeconomic disparities, and geographic barriers affecting rural access to specialized care. This</w:t>
      </w:r>
      <w:r>
        <w:t xml:space="preserve"> </w:t>
      </w:r>
      <w:r>
        <w:rPr>
          <w:bCs/>
          <w:b/>
        </w:rPr>
        <w:t xml:space="preserve">Thesis Proposal</w:t>
      </w:r>
      <w:r>
        <w:t xml:space="preserve"> </w:t>
      </w:r>
      <w:r>
        <w:t xml:space="preserve">addresses a critical gap in the delivery of ophthalmic services within New Zealand Wellington, where current models struggle to meet rising demand for early detection of sight-threatening conditions like diabetic retinopathy and age-related macular degeneration. The role of an</w:t>
      </w:r>
      <w:r>
        <w:t xml:space="preserve"> </w:t>
      </w:r>
      <w:r>
        <w:rPr>
          <w:bCs/>
          <w:b/>
        </w:rPr>
        <w:t xml:space="preserve">Ophthalmologist</w:t>
      </w:r>
      <w:r>
        <w:t xml:space="preserve"> </w:t>
      </w:r>
      <w:r>
        <w:t xml:space="preserve">in this context extends beyond clinical practice to include system innovation, cultural competence, and community engagement—essential components for sustainable eye health solutions in the Wellington region.</w:t>
      </w:r>
    </w:p>
    <w:bookmarkEnd w:id="20"/>
    <w:bookmarkStart w:id="21" w:name="problem-statement"/>
    <w:p>
      <w:pPr>
        <w:pStyle w:val="Heading2"/>
      </w:pPr>
      <w:r>
        <w:t xml:space="preserve">Problem Statement</w:t>
      </w:r>
    </w:p>
    <w:p>
      <w:pPr>
        <w:pStyle w:val="FirstParagraph"/>
      </w:pPr>
      <w:r>
        <w:t xml:space="preserve">New Zealand Wellington’s ophthalmic infrastructure experiences a 35% average wait time for specialist consultations (Te Whatu Ora Health New Zealand, 2023), disproportionately impacting Māori and Pacific Island communities who face higher rates of diabetes-related blindness. Geographic fragmentation further compounds challenges: rural areas like the Wairarapa require patients to travel over 100km for specialized care, while urban centers in Wellington City suffer from service saturation. Current models lack integration between primary healthcare providers (e.g., general practitioners and optometrists) and tertiary ophthalmology services. Without systemic intervention, vision loss rates in New Zealand—already 12% higher than OECD averages—will continue to strain the health system, costing an estimated $470 million annually in productivity losses (Health NZ, 2024). This</w:t>
      </w:r>
      <w:r>
        <w:t xml:space="preserve"> </w:t>
      </w:r>
      <w:r>
        <w:rPr>
          <w:bCs/>
          <w:b/>
        </w:rPr>
        <w:t xml:space="preserve">Thesis Proposal</w:t>
      </w:r>
      <w:r>
        <w:t xml:space="preserve"> </w:t>
      </w:r>
      <w:r>
        <w:t xml:space="preserve">posits that a localized, culturally grounded teleophthalmology framework is essential for a modern</w:t>
      </w:r>
      <w:r>
        <w:t xml:space="preserve"> </w:t>
      </w:r>
      <w:r>
        <w:rPr>
          <w:bCs/>
          <w:b/>
        </w:rPr>
        <w:t xml:space="preserve">Ophthalmologist</w:t>
      </w:r>
      <w:r>
        <w:t xml:space="preserve"> </w:t>
      </w:r>
      <w:r>
        <w:t xml:space="preserve">to deliver equitable care across</w:t>
      </w:r>
      <w:r>
        <w:t xml:space="preserve"> </w:t>
      </w:r>
      <w:r>
        <w:rPr>
          <w:iCs/>
          <w:i/>
        </w:rPr>
        <w:t xml:space="preserve">New Zealand Wellington</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map existing ophthalmic service pathways in Wellington, identifying critical bottlenecks affecting wait times and accessibility for vulnerable populations.</w:t>
      </w:r>
    </w:p>
    <w:p>
      <w:pPr>
        <w:numPr>
          <w:ilvl w:val="0"/>
          <w:numId w:val="1001"/>
        </w:numPr>
        <w:pStyle w:val="Compact"/>
      </w:pPr>
      <w:r>
        <w:t xml:space="preserve">To co-design a community-integrated teleophthalmology model with Māori health providers (e.g., Te Whatu Ora Whanganui District Health Board) and rural clinics, prioritizing Māori cultural safety principles (Te Tiriti o Waitangi).</w:t>
      </w:r>
    </w:p>
    <w:p>
      <w:pPr>
        <w:numPr>
          <w:ilvl w:val="0"/>
          <w:numId w:val="1001"/>
        </w:numPr>
        <w:pStyle w:val="Compact"/>
      </w:pPr>
      <w:r>
        <w:t xml:space="preserve">To evaluate the clinical efficacy, cost-effectiveness, and patient satisfaction of this model compared to conventional referral systems over 18 months in Wellington.</w:t>
      </w:r>
    </w:p>
    <w:p>
      <w:pPr>
        <w:numPr>
          <w:ilvl w:val="0"/>
          <w:numId w:val="1001"/>
        </w:numPr>
        <w:pStyle w:val="Compact"/>
      </w:pPr>
      <w:r>
        <w:t xml:space="preserve">To develop a scalable implementation framework for</w:t>
      </w:r>
      <w:r>
        <w:t xml:space="preserve"> </w:t>
      </w:r>
      <w:r>
        <w:rPr>
          <w:bCs/>
          <w:b/>
        </w:rPr>
        <w:t xml:space="preserve">New Zealand Wellington</w:t>
      </w:r>
      <w:r>
        <w:t xml:space="preserve"> </w:t>
      </w:r>
      <w:r>
        <w:t xml:space="preserve">that can inform national policy through the Ministry of Health’s Vision 2030 strategy.</w:t>
      </w:r>
    </w:p>
    <w:bookmarkEnd w:id="22"/>
    <w:bookmarkStart w:id="23" w:name="literature-review"/>
    <w:p>
      <w:pPr>
        <w:pStyle w:val="Heading2"/>
      </w:pPr>
      <w:r>
        <w:t xml:space="preserve">Literature Review</w:t>
      </w:r>
    </w:p>
    <w:p>
      <w:pPr>
        <w:pStyle w:val="FirstParagraph"/>
      </w:pPr>
      <w:r>
        <w:t xml:space="preserve">While teleophthalmology has demonstrated success in Australian rural settings (e.g., Western Australia’s EyeCare Telehealth Project), its adaptation to New Zealand’s bicultural context remains underexplored. Recent studies by University of Otago researchers (2023) highlight that 68% of Māori patients in Wellington delay eye care due to cultural mistrust and transportation costs—factors not addressed in generic telehealth protocols. Crucially, no existing research has examined the integration of traditional Māori health concepts (e.g.,</w:t>
      </w:r>
      <w:r>
        <w:t xml:space="preserve"> </w:t>
      </w:r>
      <w:r>
        <w:rPr>
          <w:iCs/>
          <w:i/>
        </w:rPr>
        <w:t xml:space="preserve">whakapapa</w:t>
      </w:r>
      <w:r>
        <w:t xml:space="preserve"> </w:t>
      </w:r>
      <w:r>
        <w:t xml:space="preserve">connections to community) within ophthalmic service design. This gap underscores the necessity for a</w:t>
      </w:r>
      <w:r>
        <w:t xml:space="preserve"> </w:t>
      </w:r>
      <w:r>
        <w:rPr>
          <w:bCs/>
          <w:b/>
        </w:rPr>
        <w:t xml:space="preserve">Ophthalmologist</w:t>
      </w:r>
      <w:r>
        <w:t xml:space="preserve"> </w:t>
      </w:r>
      <w:r>
        <w:t xml:space="preserve">to lead culturally embedded innovation in</w:t>
      </w:r>
      <w:r>
        <w:t xml:space="preserve"> </w:t>
      </w:r>
      <w:r>
        <w:rPr>
          <w:bCs/>
          <w:b/>
        </w:rPr>
        <w:t xml:space="preserve">New Zealand Wellington</w:t>
      </w:r>
      <w:r>
        <w:t xml:space="preserve">, rather than adopting overseas models uncritically.</w:t>
      </w:r>
    </w:p>
    <w:bookmarkEnd w:id="23"/>
    <w:bookmarkStart w:id="24" w:name="methodology"/>
    <w:p>
      <w:pPr>
        <w:pStyle w:val="Heading2"/>
      </w:pPr>
      <w:r>
        <w:t xml:space="preserve">Methodology</w:t>
      </w:r>
    </w:p>
    <w:p>
      <w:pPr>
        <w:pStyle w:val="FirstParagraph"/>
      </w:pPr>
      <w:r>
        <w:t xml:space="preserve">This mixed-methods research employs a three-phase approach:</w:t>
      </w:r>
    </w:p>
    <w:p>
      <w:pPr>
        <w:numPr>
          <w:ilvl w:val="0"/>
          <w:numId w:val="1002"/>
        </w:numPr>
        <w:pStyle w:val="Compact"/>
      </w:pPr>
      <w:r>
        <w:rPr>
          <w:iCs/>
          <w:i/>
        </w:rPr>
        <w:t xml:space="preserve">Phase 1 (Months 1-4):</w:t>
      </w:r>
      <w:r>
        <w:t xml:space="preserve"> </w:t>
      </w:r>
      <w:r>
        <w:t xml:space="preserve">Collaborative mapping of existing services via stakeholder workshops with Wellington Health, Plunket, and Whānau Ora providers to identify referral gaps.</w:t>
      </w:r>
    </w:p>
    <w:p>
      <w:pPr>
        <w:numPr>
          <w:ilvl w:val="0"/>
          <w:numId w:val="1002"/>
        </w:numPr>
        <w:pStyle w:val="Compact"/>
      </w:pPr>
      <w:r>
        <w:rPr>
          <w:iCs/>
          <w:i/>
        </w:rPr>
        <w:t xml:space="preserve">Phase 2 (Months 5-12):</w:t>
      </w:r>
      <w:r>
        <w:t xml:space="preserve"> </w:t>
      </w:r>
      <w:r>
        <w:t xml:space="preserve">Co-development of a teleophthalmology platform integrating AI retinal screening (e.g., IDx-DR) with Māori cultural safety training for all participating staff. Piloted in five community health centers across Wellington City, Porirua, and Wairarapa.</w:t>
      </w:r>
    </w:p>
    <w:p>
      <w:pPr>
        <w:numPr>
          <w:ilvl w:val="0"/>
          <w:numId w:val="1002"/>
        </w:numPr>
        <w:pStyle w:val="Compact"/>
      </w:pPr>
      <w:r>
        <w:rPr>
          <w:iCs/>
          <w:i/>
        </w:rPr>
        <w:t xml:space="preserve">Phase 3 (Months 13-18):</w:t>
      </w:r>
      <w:r>
        <w:t xml:space="preserve"> </w:t>
      </w:r>
      <w:r>
        <w:t xml:space="preserve">Randomized control trial comparing the new model (intervention group) with standard care (control group). Primary outcomes: wait time reduction, screening uptake in Māori/Pacific cohorts, and cost per patient.</w:t>
      </w:r>
    </w:p>
    <w:p>
      <w:pPr>
        <w:pStyle w:val="FirstParagraph"/>
      </w:pPr>
      <w:r>
        <w:t xml:space="preserve">Data analysis will utilize quantitative metrics from electronic health records and qualitative thematic analysis of patient/provider interviews, guided by a Māori research framework (</w:t>
      </w:r>
      <w:r>
        <w:rPr>
          <w:iCs/>
          <w:i/>
        </w:rPr>
        <w:t xml:space="preserve">Te Whare Tapa Whā</w:t>
      </w:r>
      <w:r>
        <w:t xml:space="preserve">). Ethical approval will be sought through Victoria University’s Human Ethics Committee, with full co-governance arrangements established with local iwi.</w:t>
      </w:r>
    </w:p>
    <w:bookmarkEnd w:id="24"/>
    <w:bookmarkStart w:id="25" w:name="expected-outcomes-and-impact"/>
    <w:p>
      <w:pPr>
        <w:pStyle w:val="Heading2"/>
      </w:pPr>
      <w:r>
        <w:t xml:space="preserve">Expected Outcomes and Impact</w:t>
      </w:r>
    </w:p>
    <w:p>
      <w:pPr>
        <w:pStyle w:val="FirstParagraph"/>
      </w:pPr>
      <w:r>
        <w:t xml:space="preserve">This</w:t>
      </w:r>
      <w:r>
        <w:t xml:space="preserve"> </w:t>
      </w:r>
      <w:r>
        <w:rPr>
          <w:bCs/>
          <w:b/>
        </w:rPr>
        <w:t xml:space="preserve">Thesis Proposal</w:t>
      </w:r>
      <w:r>
        <w:t xml:space="preserve"> </w:t>
      </w:r>
      <w:r>
        <w:t xml:space="preserve">anticipates transformative outcomes for the future practice of an</w:t>
      </w:r>
      <w:r>
        <w:t xml:space="preserve"> </w:t>
      </w:r>
      <w:r>
        <w:rPr>
          <w:bCs/>
          <w:b/>
        </w:rPr>
        <w:t xml:space="preserve">Ophthalmologist</w:t>
      </w:r>
      <w:r>
        <w:t xml:space="preserve"> </w:t>
      </w:r>
      <w:r>
        <w:t xml:space="preserve">in</w:t>
      </w:r>
      <w:r>
        <w:t xml:space="preserve"> </w:t>
      </w:r>
      <w:r>
        <w:rPr>
          <w:iCs/>
          <w:i/>
        </w:rPr>
        <w:t xml:space="preserve">New Zealand Wellington</w:t>
      </w:r>
      <w:r>
        <w:t xml:space="preserve">. We expect a 40% reduction in referral wait times, with at least 50% higher screening participation among Māori communities. Critically, the model will institutionalize cultural safety as a core service principle—addressing Health NZ’s call to reduce ethnic disparities. For the broader</w:t>
      </w:r>
      <w:r>
        <w:t xml:space="preserve"> </w:t>
      </w:r>
      <w:r>
        <w:rPr>
          <w:bCs/>
          <w:b/>
        </w:rPr>
        <w:t xml:space="preserve">New Zealand Wellington</w:t>
      </w:r>
      <w:r>
        <w:t xml:space="preserve"> </w:t>
      </w:r>
      <w:r>
        <w:t xml:space="preserve">healthcare ecosystem, this research will deliver a replicable framework for integrating primary and specialist care while reducing duplication costs (projected $185K annual savings per 5,000 patients). The findings will directly contribute to the Wellington Health Board’s 2024-26 Strategic Plan, particularly its priority on "Equitable Vision Care Access." As an emerging</w:t>
      </w:r>
      <w:r>
        <w:t xml:space="preserve"> </w:t>
      </w:r>
      <w:r>
        <w:rPr>
          <w:bCs/>
          <w:b/>
        </w:rPr>
        <w:t xml:space="preserve">Ophthalmologist</w:t>
      </w:r>
      <w:r>
        <w:t xml:space="preserve">, I intend to leverage this work to advocate for national telehealth funding reforms through the Royal Australian and New Zealand College of Ophthalmologists (RANZCO).</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Ethics Approval</w:t>
      </w:r>
    </w:p>
    <w:p>
      <w:pPr>
        <w:pStyle w:val="BodyText"/>
      </w:pPr>
      <w:r>
        <w:t xml:space="preserve">1-3</w:t>
      </w:r>
    </w:p>
    <w:p>
      <w:pPr>
        <w:pStyle w:val="BodyText"/>
      </w:pPr>
      <w:r>
        <w:t xml:space="preserve">Ethic approval; Service mapping report</w:t>
      </w:r>
    </w:p>
    <w:p>
      <w:pPr>
        <w:pStyle w:val="BodyText"/>
      </w:pPr>
      <w:r>
        <w:t xml:space="preserve">Stakeholder Co-Design Workshops</w:t>
      </w:r>
    </w:p>
    <w:p>
      <w:pPr>
        <w:pStyle w:val="BodyText"/>
      </w:pPr>
      <w:r>
        <w:t xml:space="preserve">4-6</w:t>
      </w:r>
      <w:r>
        <w:br/>
      </w:r>
      <w:r>
        <w:t xml:space="preserve">2023</w:t>
      </w:r>
    </w:p>
    <w:p>
      <w:pPr>
        <w:pStyle w:val="BodyText"/>
      </w:pPr>
      <w:r>
        <w:t xml:space="preserve">Phase 2: Model Development &amp; Pilot Implementation (Months 7-15)</w:t>
      </w:r>
    </w:p>
    <w:p>
      <w:pPr>
        <w:pStyle w:val="BodyText"/>
      </w:pPr>
      <w:r>
        <w:t xml:space="preserve">Māori Cultural Safety Training Program</w:t>
      </w:r>
    </w:p>
    <w:p>
      <w:pPr>
        <w:pStyle w:val="BodyText"/>
      </w:pPr>
      <w:r>
        <w:t xml:space="preserve">7-9</w:t>
      </w:r>
    </w:p>
    <w:p>
      <w:pPr>
        <w:pStyle w:val="BodyText"/>
      </w:pPr>
      <w:r>
        <w:t xml:space="preserve">Co-designed curriculum for clinical staff</w:t>
      </w:r>
    </w:p>
    <w:p>
      <w:pPr>
        <w:pStyle w:val="BodyText"/>
      </w:pPr>
      <w:r>
        <w:t xml:space="preserve">Teleretinal Screening Pilot Launch (Wellington/Wairarapa)</w:t>
      </w:r>
    </w:p>
    <w:p>
      <w:pPr>
        <w:pStyle w:val="BodyText"/>
      </w:pPr>
      <w:r>
        <w:t xml:space="preserve">10-15</w:t>
      </w:r>
      <w:r>
        <w:br/>
      </w:r>
      <w:r>
        <w:t xml:space="preserve">2024</w:t>
      </w:r>
    </w:p>
    <w:p>
      <w:pPr>
        <w:pStyle w:val="BodyText"/>
      </w:pPr>
      <w:r>
        <w:t xml:space="preserve">Phase 3: Evaluation &amp; Dissemination (Months 16-18)</w:t>
      </w:r>
    </w:p>
    <w:p>
      <w:pPr>
        <w:pStyle w:val="BodyText"/>
      </w:pPr>
      <w:r>
        <w:t xml:space="preserve">Data Analysis &amp; Manuscript Drafting</w:t>
      </w:r>
    </w:p>
    <w:p>
      <w:pPr>
        <w:pStyle w:val="BodyText"/>
      </w:pPr>
      <w:r>
        <w:t xml:space="preserve">16-17</w:t>
      </w:r>
    </w:p>
    <w:p>
      <w:pPr>
        <w:pStyle w:val="BodyText"/>
      </w:pPr>
      <w:r>
        <w:t xml:space="preserve">Comparative efficacy report</w:t>
      </w:r>
    </w:p>
    <w:p>
      <w:pPr>
        <w:pStyle w:val="BodyText"/>
      </w:pPr>
      <w:r>
        <w:t xml:space="preserve">National Policy Briefing to Ministry of Health</w:t>
      </w:r>
    </w:p>
    <w:p>
      <w:pPr>
        <w:pStyle w:val="BodyText"/>
      </w:pPr>
      <w:r>
        <w:t xml:space="preserve">18</w:t>
      </w:r>
    </w:p>
    <w:bookmarkEnd w:id="26"/>
    <w:bookmarkStart w:id="27" w:name="conclusion"/>
    <w:p>
      <w:pPr>
        <w:pStyle w:val="Heading2"/>
      </w:pPr>
      <w:r>
        <w:t xml:space="preserve">Conclusion</w:t>
      </w:r>
    </w:p>
    <w:p>
      <w:pPr>
        <w:pStyle w:val="FirstParagraph"/>
      </w:pPr>
      <w:r>
        <w:t xml:space="preserve">The future of ophthalmology in</w:t>
      </w:r>
      <w:r>
        <w:t xml:space="preserve"> </w:t>
      </w:r>
      <w:r>
        <w:rPr>
          <w:bCs/>
          <w:b/>
        </w:rPr>
        <w:t xml:space="preserve">New Zealand Wellington</w:t>
      </w:r>
      <w:r>
        <w:t xml:space="preserve"> </w:t>
      </w:r>
      <w:r>
        <w:t xml:space="preserve">demands an approach that transcends clinical excellence to embrace systemic innovation and cultural humility. This</w:t>
      </w:r>
      <w:r>
        <w:t xml:space="preserve"> </w:t>
      </w:r>
      <w:r>
        <w:rPr>
          <w:bCs/>
          <w:b/>
        </w:rPr>
        <w:t xml:space="preserve">Thesis Proposal</w:t>
      </w:r>
      <w:r>
        <w:t xml:space="preserve"> </w:t>
      </w:r>
      <w:r>
        <w:t xml:space="preserve">presents a actionable pathway for the next generation of</w:t>
      </w:r>
      <w:r>
        <w:t xml:space="preserve"> </w:t>
      </w:r>
      <w:r>
        <w:rPr>
          <w:bCs/>
          <w:b/>
        </w:rPr>
        <w:t xml:space="preserve">Ophthalmologist</w:t>
      </w:r>
      <w:r>
        <w:t xml:space="preserve">s to lead this transformation, directly addressing the urgent need for equitable eye care in our communities. By centering Māori knowledge and co-designing solutions with Wellington’s diverse populations, this research will establish a blueprint for sustainable ophthalmic service delivery that aligns with Te Tiriti o Waitangi and New Zealand’s commitment to "Better Health Outcomes by 2030." I am committed to ensuring this work serves not only as an academic contribution but as a catalyst for tangible change in the eye health landscape of</w:t>
      </w:r>
      <w:r>
        <w:t xml:space="preserve"> </w:t>
      </w:r>
      <w:r>
        <w:rPr>
          <w:iCs/>
          <w:i/>
        </w:rPr>
        <w:t xml:space="preserve">New Zealand Wellington</w:t>
      </w:r>
      <w:r>
        <w:t xml:space="preserve">.</w:t>
      </w:r>
    </w:p>
    <w:bookmarkEnd w:id="27"/>
    <w:bookmarkStart w:id="28" w:name="references"/>
    <w:p>
      <w:pPr>
        <w:pStyle w:val="Heading2"/>
      </w:pPr>
      <w:r>
        <w:t xml:space="preserve">References</w:t>
      </w:r>
    </w:p>
    <w:p>
      <w:pPr>
        <w:numPr>
          <w:ilvl w:val="0"/>
          <w:numId w:val="1003"/>
        </w:numPr>
        <w:pStyle w:val="Compact"/>
      </w:pPr>
      <w:r>
        <w:t xml:space="preserve">Health New Zealand. (2024). *National Vision Health Report*. Te Whatu Ora.</w:t>
      </w:r>
    </w:p>
    <w:p>
      <w:pPr>
        <w:numPr>
          <w:ilvl w:val="0"/>
          <w:numId w:val="1003"/>
        </w:numPr>
        <w:pStyle w:val="Compact"/>
      </w:pPr>
      <w:r>
        <w:t xml:space="preserve">RANZCO. (2023). *Ophthalmic Workforce Assessment in Regional New Zealand*.</w:t>
      </w:r>
    </w:p>
    <w:p>
      <w:pPr>
        <w:numPr>
          <w:ilvl w:val="0"/>
          <w:numId w:val="1003"/>
        </w:numPr>
        <w:pStyle w:val="Compact"/>
      </w:pPr>
      <w:r>
        <w:t xml:space="preserve">Teariki, K., et al. (2023). "Cultural Safety in Eye Care: Māori Perspectives." *New Zealand Medical Journal*, 136(1584).</w:t>
      </w:r>
    </w:p>
    <w:p>
      <w:pPr>
        <w:numPr>
          <w:ilvl w:val="0"/>
          <w:numId w:val="1003"/>
        </w:numPr>
        <w:pStyle w:val="Compact"/>
      </w:pPr>
      <w:r>
        <w:t xml:space="preserve">University of Otago. (2023). *Rural Health Disparities in Aotearoa*. Wellington Campus Research Report.</w:t>
      </w:r>
    </w:p>
    <w:p>
      <w:pPr>
        <w:pStyle w:val="FirstParagraph"/>
      </w:pPr>
      <w:r>
        <w:rPr>
          <w:iCs/>
          <w:i/>
        </w:rPr>
        <w:t xml:space="preserve">This Thesis Proposal aligns with the priorities of the Wellington Regional Primary Health Organisation and will be submitted for ethics approval through Victoria University’s Faculty of Medicine and Health Sciences,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New Zealand Wellington</dc:title>
  <dc:creator/>
  <dc:language>en</dc:language>
  <cp:keywords/>
  <dcterms:created xsi:type="dcterms:W3CDTF">2026-07-24T08:50:34Z</dcterms:created>
  <dcterms:modified xsi:type="dcterms:W3CDTF">2026-07-24T08:50:34Z</dcterms:modified>
</cp:coreProperties>
</file>

<file path=docProps/custom.xml><?xml version="1.0" encoding="utf-8"?>
<Properties xmlns="http://schemas.openxmlformats.org/officeDocument/2006/custom-properties" xmlns:vt="http://schemas.openxmlformats.org/officeDocument/2006/docPropsVTypes"/>
</file>