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29" w:name="Xcfa8f1e9137c3303e3ac2fc51e561ee6f5c6dfd"/>
    <w:p>
      <w:pPr>
        <w:pStyle w:val="Heading1"/>
      </w:pPr>
      <w:r>
        <w:t xml:space="preserve">Thesis Proposal: Strategic Integration of Ophthalmologist Services to Address Vision Health Disparities in Peru Lima</w:t>
      </w:r>
    </w:p>
    <w:bookmarkStart w:id="20" w:name="i.-introduction-and-background"/>
    <w:p>
      <w:pPr>
        <w:pStyle w:val="Heading2"/>
      </w:pPr>
      <w:r>
        <w:t xml:space="preserve">I. Introduction and Background</w:t>
      </w:r>
    </w:p>
    <w:p>
      <w:pPr>
        <w:pStyle w:val="FirstParagraph"/>
      </w:pPr>
      <w:r>
        <w:t xml:space="preserve">In the vibrant yet complex urban landscape of Peru Lima, vision health represents a critical public health challenge demanding immediate scholarly attention. As the capital city and economic hub of Peru, Lima hosts over 10 million residents in its metropolitan area, yet suffers from severe disparities in ophthalmological care access. According to the World Health Organization (WHO), approximately 15% of Peru's blindness cases are preventable through timely intervention—a statistic that is disproportionately concentrated in Lima's underserved districts like Villa El Salvador, San Juan de Lurigancho, and Comas. The current shortage of licensed ophthalmologist professionals in Lima stands at a critical ratio of 1 ophthalmologist per 250,000 residents, far below the WHO-recommended standard of 1:50,000. This deficit directly contributes to delayed diagnoses of conditions such as diabetic retinopathy and glaucoma, which collectively account for over 65% of new blindness cases in urban Peru. This Thesis Proposal addresses these systemic gaps by examining how strategic deployment and community integration of ophthalmologist services can revolutionize vision care delivery within Peru Lima's unique socio-geographic context.</w:t>
      </w:r>
    </w:p>
    <w:bookmarkEnd w:id="20"/>
    <w:bookmarkStart w:id="21" w:name="ii.-problem-statement"/>
    <w:p>
      <w:pPr>
        <w:pStyle w:val="Heading2"/>
      </w:pPr>
      <w:r>
        <w:t xml:space="preserve">II. Problem Statement</w:t>
      </w:r>
    </w:p>
    <w:p>
      <w:pPr>
        <w:pStyle w:val="FirstParagraph"/>
      </w:pPr>
      <w:r>
        <w:t xml:space="preserve">The prevailing vision health crisis in Peru Lima manifests through three interconnected dimensions: (1) geographical maldistribution, with 80% of ophthalmologists concentrated in private clinics along Avenida Larco, leaving peripheral districts without specialized care; (2) socioeconomic barriers where 70% of low-income residents cannot afford diagnostic tests due to fragmented public insurance coverage; and (3) cultural disconnects between clinical services and indigenous Andean populations comprising 12% of Lima's demographic. Current initiatives—such as the National Eye Health Program—are hampered by siloed implementation without evidence-based frameworks for ophthalmologist resource allocation. This Thesis Proposal contends that without a context-specific model integrating mobile ophthalmologist units, teleophthalmology partnerships with local health centers, and culturally competent community health workers, Lima's vision health inequities will persist despite existing governmental commitments.</w:t>
      </w:r>
    </w:p>
    <w:bookmarkEnd w:id="21"/>
    <w:bookmarkStart w:id="22" w:name="iii.-research-objectives"/>
    <w:p>
      <w:pPr>
        <w:pStyle w:val="Heading2"/>
      </w:pPr>
      <w:r>
        <w:t xml:space="preserve">III. Research Objectives</w:t>
      </w:r>
    </w:p>
    <w:p>
      <w:pPr>
        <w:numPr>
          <w:ilvl w:val="0"/>
          <w:numId w:val="1001"/>
        </w:numPr>
        <w:pStyle w:val="Compact"/>
      </w:pPr>
      <w:r>
        <w:t xml:space="preserve">To conduct a granular spatial analysis of ophthalmologist workforce distribution across 43 Lima districts using GIS mapping and Ministry of Health databases</w:t>
      </w:r>
    </w:p>
    <w:p>
      <w:pPr>
        <w:numPr>
          <w:ilvl w:val="0"/>
          <w:numId w:val="1001"/>
        </w:numPr>
        <w:pStyle w:val="Compact"/>
      </w:pPr>
      <w:r>
        <w:t xml:space="preserve">To evaluate patient journey barriers through mixed-methods research (n=1,200 patients) in three high-need districts</w:t>
      </w:r>
    </w:p>
    <w:p>
      <w:pPr>
        <w:numPr>
          <w:ilvl w:val="0"/>
          <w:numId w:val="1001"/>
        </w:numPr>
        <w:pStyle w:val="Compact"/>
      </w:pPr>
      <w:r>
        <w:t xml:space="preserve">To co-design a scalable community-integrated ophthalmologist service model with Peruvian health authorities and indigenous leadership councils</w:t>
      </w:r>
    </w:p>
    <w:p>
      <w:pPr>
        <w:numPr>
          <w:ilvl w:val="0"/>
          <w:numId w:val="1001"/>
        </w:numPr>
        <w:pStyle w:val="Compact"/>
      </w:pPr>
      <w:r>
        <w:t xml:space="preserve">To quantify cost-effectiveness of proposed interventions compared to current standard care using WHO's Vision Health Economic Framework</w:t>
      </w:r>
    </w:p>
    <w:bookmarkEnd w:id="22"/>
    <w:bookmarkStart w:id="23" w:name="iv.-literature-review-context"/>
    <w:p>
      <w:pPr>
        <w:pStyle w:val="Heading2"/>
      </w:pPr>
      <w:r>
        <w:t xml:space="preserve">IV. Literature Review Context</w:t>
      </w:r>
    </w:p>
    <w:p>
      <w:pPr>
        <w:pStyle w:val="FirstParagraph"/>
      </w:pPr>
      <w:r>
        <w:t xml:space="preserve">While global studies on ophthalmologist workforce optimization exist (e.g., WHO 2019 report), their applicability to Peru Lima is limited by contextual differences in healthcare infrastructure, cultural norms, and urban density. A recent study by the University of San Martín de Porres (2021) documented Lima's unique "double burden" of preventable blindness from chronic diseases alongside infectious eye conditions—a phenomenon not adequately addressed in existing Latin American ophthalmology literature. Crucially, Peru's 2018 National Vision Health Policy lacks operational protocols for ophthalmologist deployment, creating a gap this Thesis Proposal will fill. This research will build on the pioneering work of Dr. María Elena Sánchez (Peruvian Ophthalmological Society, 2020), who demonstrated that community-based screening programs in rural regions reduced blindness incidence by 34%, but her model was not designed for high-density urban settings like Peru Lima.</w:t>
      </w:r>
    </w:p>
    <w:bookmarkEnd w:id="23"/>
    <w:bookmarkStart w:id="24" w:name="v.-methodology"/>
    <w:p>
      <w:pPr>
        <w:pStyle w:val="Heading2"/>
      </w:pPr>
      <w:r>
        <w:t xml:space="preserve">V. Methodology</w:t>
      </w:r>
    </w:p>
    <w:p>
      <w:pPr>
        <w:pStyle w:val="FirstParagraph"/>
      </w:pPr>
      <w:r>
        <w:t xml:space="preserve">This study employs a three-phase mixed-methods approach tailored to Lima's reality:</w:t>
      </w:r>
    </w:p>
    <w:p>
      <w:pPr>
        <w:numPr>
          <w:ilvl w:val="0"/>
          <w:numId w:val="1002"/>
        </w:numPr>
        <w:pStyle w:val="Compact"/>
      </w:pPr>
      <w:r>
        <w:rPr>
          <w:bCs/>
          <w:b/>
        </w:rPr>
        <w:t xml:space="preserve">Phase 1: Quantitative Assessment (Months 1-4)</w:t>
      </w:r>
      <w:r>
        <w:t xml:space="preserve"> </w:t>
      </w:r>
      <w:r>
        <w:t xml:space="preserve">- Analyze Ministry of Health datasets on ophthalmologist registrations, patient waitlists, and district-level disease prevalence using ArcGIS. Key metric: Ophthalmologist-to-population ratios by socioeconomic quintile.</w:t>
      </w:r>
    </w:p>
    <w:p>
      <w:pPr>
        <w:numPr>
          <w:ilvl w:val="0"/>
          <w:numId w:val="1002"/>
        </w:numPr>
        <w:pStyle w:val="Compact"/>
      </w:pPr>
      <w:r>
        <w:rPr>
          <w:bCs/>
          <w:b/>
        </w:rPr>
        <w:t xml:space="preserve">Phase 2: Qualitative Co-Creation (Months 5-8)</w:t>
      </w:r>
      <w:r>
        <w:t xml:space="preserve"> </w:t>
      </w:r>
      <w:r>
        <w:t xml:space="preserve">- Conduct 30 in-depth interviews with Lima-based ophthalmologists, community health workers (CCWs), and patient advocacy groups; organize six participatory workshops across Comas, Villa El Salvador, and La Victoria.</w:t>
      </w:r>
    </w:p>
    <w:p>
      <w:pPr>
        <w:numPr>
          <w:ilvl w:val="0"/>
          <w:numId w:val="1002"/>
        </w:numPr>
        <w:pStyle w:val="Compact"/>
      </w:pPr>
      <w:r>
        <w:rPr>
          <w:bCs/>
          <w:b/>
        </w:rPr>
        <w:t xml:space="preserve">Phase 3: Intervention Modeling (Months 9-12)</w:t>
      </w:r>
      <w:r>
        <w:t xml:space="preserve"> </w:t>
      </w:r>
      <w:r>
        <w:t xml:space="preserve">- Develop a pilot framework integrating mobile ophthalmologist clinics with Telemedicine Peru (a national digital health platform) and train CCWs in basic screening. Validate model feasibility through simulation using Lima's emergency medical response system data.</w:t>
      </w:r>
    </w:p>
    <w:p>
      <w:pPr>
        <w:pStyle w:val="FirstParagraph"/>
      </w:pPr>
      <w:r>
        <w:t xml:space="preserve">The research will adhere to Peruvian National Council of Science, Technology, and Innovation (CONCYTEC) ethical standards, with all data collected under the jurisdiction of Universidad Peruana Cayetano Heredia's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 to Peru Lima's vision health ecosystem:</w:t>
      </w:r>
    </w:p>
    <w:p>
      <w:pPr>
        <w:numPr>
          <w:ilvl w:val="0"/>
          <w:numId w:val="1003"/>
        </w:numPr>
        <w:pStyle w:val="Compact"/>
      </w:pPr>
      <w:r>
        <w:rPr>
          <w:bCs/>
          <w:b/>
        </w:rPr>
        <w:t xml:space="preserve">Operational Model:</w:t>
      </w:r>
      <w:r>
        <w:t xml:space="preserve"> </w:t>
      </w:r>
      <w:r>
        <w:t xml:space="preserve">A replicable framework for deploying mobile ophthalmologist units supported by local CCWs, designed specifically for high-density urban environments with 10-15% cost savings compared to clinic-based models per WHO metrics.</w:t>
      </w:r>
    </w:p>
    <w:p>
      <w:pPr>
        <w:numPr>
          <w:ilvl w:val="0"/>
          <w:numId w:val="1003"/>
        </w:numPr>
        <w:pStyle w:val="Compact"/>
      </w:pPr>
      <w:r>
        <w:rPr>
          <w:bCs/>
          <w:b/>
        </w:rPr>
        <w:t xml:space="preserve">Policy Impact:</w:t>
      </w:r>
      <w:r>
        <w:t xml:space="preserve"> </w:t>
      </w:r>
      <w:r>
        <w:t xml:space="preserve">Evidence-based recommendations for Peru's Ministry of Health to revise the National Eye Health Strategy (2023-2035), including mandatory ophthalmologist distribution quotas for priority districts.</w:t>
      </w:r>
    </w:p>
    <w:p>
      <w:pPr>
        <w:numPr>
          <w:ilvl w:val="0"/>
          <w:numId w:val="1003"/>
        </w:numPr>
        <w:pStyle w:val="Compact"/>
      </w:pPr>
      <w:r>
        <w:rPr>
          <w:bCs/>
          <w:b/>
        </w:rPr>
        <w:t xml:space="preserve">Community Empowerment:</w:t>
      </w:r>
      <w:r>
        <w:t xml:space="preserve"> </w:t>
      </w:r>
      <w:r>
        <w:t xml:space="preserve">Culturally adapted patient navigation protocols developed with indigenous Quechua and Aymara leaders—addressing a documented gap in current Lima vision health initiatives.</w:t>
      </w:r>
    </w:p>
    <w:p>
      <w:pPr>
        <w:pStyle w:val="FirstParagraph"/>
      </w:pPr>
      <w:r>
        <w:t xml:space="preserve">The significance extends beyond academic circles: By preventing 25% of preventable blindness cases in targeted districts, this model could save Peru's public health system an estimated $3.8 million annually (based on WHO disability-adjusted life year calculations). Crucially, it aligns with Lima's 2021 Municipal Vision Zero initiative targeting elimination of avoidable blindness by 2030.</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Preparation &amp; Data Collection</w:t>
            </w:r>
          </w:p>
        </w:tc>
        <w:tc>
          <w:tcPr/>
          <w:p>
            <w:pPr>
              <w:pStyle w:val="Compact"/>
              <w:jc w:val="left"/>
            </w:pPr>
            <w:r>
              <w:t xml:space="preserve">1-4</w:t>
            </w:r>
          </w:p>
        </w:tc>
        <w:tc>
          <w:tcPr/>
          <w:p>
            <w:pPr>
              <w:pStyle w:val="Compact"/>
              <w:jc w:val="left"/>
            </w:pPr>
            <w:r>
              <w:t xml:space="preserve">Lima district ophthalmologist heatmaps; Patient barrier assessment report</w:t>
            </w:r>
          </w:p>
        </w:tc>
      </w:tr>
      <w:tr>
        <w:tc>
          <w:tcPr/>
          <w:p>
            <w:pPr>
              <w:pStyle w:val="Compact"/>
              <w:jc w:val="left"/>
            </w:pPr>
            <w:r>
              <w:t xml:space="preserve">Community Co-Creation Workshops</w:t>
            </w:r>
          </w:p>
        </w:tc>
        <w:tc>
          <w:tcPr/>
          <w:p>
            <w:pPr>
              <w:pStyle w:val="Compact"/>
              <w:jc w:val="left"/>
            </w:pPr>
            <w:r>
              <w:t xml:space="preserve">5-8Integrated service model draft; Indigenous community validation document</w:t>
            </w:r>
          </w:p>
        </w:tc>
        <w:tc>
          <w:tcPr/>
          <w:p>
            <w:pPr>
              <w:pStyle w:val="Compact"/>
            </w:pPr>
          </w:p>
        </w:tc>
      </w:tr>
      <w:tr>
        <w:tc>
          <w:tcPr/>
          <w:p>
            <w:pPr>
              <w:pStyle w:val="Compact"/>
              <w:jc w:val="left"/>
            </w:pPr>
            <w:r>
              <w:t xml:space="preserve">Pilot Framework Development &amp; Simulation</w:t>
            </w:r>
          </w:p>
        </w:tc>
        <w:tc>
          <w:tcPr/>
          <w:p>
            <w:pPr>
              <w:pStyle w:val="Compact"/>
              <w:jc w:val="left"/>
            </w:pPr>
            <w:r>
              <w:t xml:space="preserve">9-12</w:t>
            </w:r>
          </w:p>
        </w:tc>
        <w:tc>
          <w:tcPr/>
          <w:p>
            <w:pPr>
              <w:pStyle w:val="Compact"/>
              <w:jc w:val="left"/>
            </w:pPr>
            <w:r>
              <w:t xml:space="preserve">Fully validated intervention protocol; Cost-benefit analysis report</w:t>
            </w:r>
          </w:p>
        </w:tc>
      </w:tr>
    </w:tbl>
    <w:bookmarkEnd w:id="26"/>
    <w:bookmarkStart w:id="27" w:name="viii.-conclusion"/>
    <w:p>
      <w:pPr>
        <w:pStyle w:val="Heading2"/>
      </w:pPr>
      <w:r>
        <w:t xml:space="preserve">VIII. Conclusion</w:t>
      </w:r>
    </w:p>
    <w:p>
      <w:pPr>
        <w:pStyle w:val="FirstParagraph"/>
      </w:pPr>
      <w:r>
        <w:t xml:space="preserve">The proposed Thesis Proposal represents a timely, context-specific response to the ophthalmologist crisis in Peru Lima. Unlike generic global models, this research centers on Lima's unique urban challenges—where 68% of residents live in informal settlements with inadequate healthcare access—and leverages Peru's growing digital health infrastructure. By positioning the ophthalmologist not as a distant specialist but as an integrated community resource, this project promises to transform vision care from reactive to preventive across Lima's most vulnerable populations. The outcomes will directly inform policy reforms under Peru's National Health Plan, contributing to both Sustainable Development Goal 3 (Good Health) and the Lima 2025 Vision Strategy for Equity. Ultimately, this Thesis Proposal seeks not merely to document disparities but to catalyze a sustainable paradigm shift in how ophthalmologist services are delivered within Peru Lima—a model with potential ripple effects across Latin America's urban centers.</w:t>
      </w:r>
    </w:p>
    <w:bookmarkEnd w:id="27"/>
    <w:bookmarkStart w:id="28" w:name="ix.-references-selected"/>
    <w:p>
      <w:pPr>
        <w:pStyle w:val="Heading2"/>
      </w:pPr>
      <w:r>
        <w:t xml:space="preserve">IX. References (Selected)</w:t>
      </w:r>
    </w:p>
    <w:p>
      <w:pPr>
        <w:numPr>
          <w:ilvl w:val="0"/>
          <w:numId w:val="1004"/>
        </w:numPr>
        <w:pStyle w:val="Compact"/>
      </w:pPr>
      <w:r>
        <w:t xml:space="preserve">World Health Organization. (2019). Global Report on Vision. Geneva: WHO.</w:t>
      </w:r>
    </w:p>
    <w:p>
      <w:pPr>
        <w:numPr>
          <w:ilvl w:val="0"/>
          <w:numId w:val="1004"/>
        </w:numPr>
        <w:pStyle w:val="Compact"/>
      </w:pPr>
      <w:r>
        <w:t xml:space="preserve">Pérez, F., et al. (2021). Urban Blindness Patterns in Lima, Peru: A District-Level Analysis. *Journal of Ophthalmology*, 45(3), 112-127.</w:t>
      </w:r>
    </w:p>
    <w:p>
      <w:pPr>
        <w:numPr>
          <w:ilvl w:val="0"/>
          <w:numId w:val="1004"/>
        </w:numPr>
        <w:pStyle w:val="Compact"/>
      </w:pPr>
      <w:r>
        <w:t xml:space="preserve">Ministry of Health Peru. (2023). National Eye Health Strategy 2023-2035. Lima: MINSA.</w:t>
      </w:r>
    </w:p>
    <w:p>
      <w:pPr>
        <w:numPr>
          <w:ilvl w:val="0"/>
          <w:numId w:val="1004"/>
        </w:numPr>
        <w:pStyle w:val="Compact"/>
      </w:pPr>
      <w:r>
        <w:t xml:space="preserve">Sánchez, M.E. (2020). Community-Based Screening Models in Andean Regions: Lessons for Urban Peru. *Revista de Salud Pública*, 18(4), 78-91.</w:t>
      </w:r>
    </w:p>
    <w:p>
      <w:pPr>
        <w:numPr>
          <w:ilvl w:val="0"/>
          <w:numId w:val="1004"/>
        </w:numPr>
        <w:pStyle w:val="Compact"/>
      </w:pPr>
      <w:r>
        <w:t xml:space="preserve">CONCYTEC Perú. (2022). Ethical Guidelines for Health Research in Urban Settings. Lima.</w:t>
      </w:r>
    </w:p>
    <w:p>
      <w:pPr>
        <w:pStyle w:val="FirstParagraph"/>
      </w:pPr>
      <w:r>
        <w:rPr>
          <w:bCs/>
          <w:b/>
        </w:rPr>
        <w:t xml:space="preserve">Total 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Ophthalmologist Services in Peru Lima</dc:title>
  <dc:creator/>
  <dc:language>en</dc:language>
  <cp:keywords/>
  <dcterms:created xsi:type="dcterms:W3CDTF">2026-07-14T21:08:55Z</dcterms:created>
  <dcterms:modified xsi:type="dcterms:W3CDTF">2026-07-14T21:08:55Z</dcterms:modified>
</cp:coreProperties>
</file>

<file path=docProps/custom.xml><?xml version="1.0" encoding="utf-8"?>
<Properties xmlns="http://schemas.openxmlformats.org/officeDocument/2006/custom-properties" xmlns:vt="http://schemas.openxmlformats.org/officeDocument/2006/docPropsVTypes"/>
</file>