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2a34d5b543a1db7b60bb3402e26e7b181d118e3"/>
    <w:p>
      <w:pPr>
        <w:pStyle w:val="Heading1"/>
      </w:pPr>
      <w:r>
        <w:t xml:space="preserve">Thesis Proposal: Addressing Critical Gaps in Ophthalmological Services within South Africa Johannesburg</w:t>
      </w:r>
    </w:p>
    <w:bookmarkStart w:id="20" w:name="introduction-and-background"/>
    <w:p>
      <w:pPr>
        <w:pStyle w:val="Heading2"/>
      </w:pPr>
      <w:r>
        <w:t xml:space="preserve">1. Introduction and Background</w:t>
      </w:r>
    </w:p>
    <w:p>
      <w:pPr>
        <w:pStyle w:val="FirstParagraph"/>
      </w:pPr>
      <w:r>
        <w:t xml:space="preserve">In South Africa, visual impairment remains a critical public health challenge, with the World Health Organization (WHO) estimating that over 500,000 South Africans suffer from blindness and another 6 million experience moderate to severe vision loss. Johannesburg—a bustling metropolis housing approximately 5.8 million residents—exacerbates these challenges due to its complex socio-economic landscape, urban-rural disparities, and strained healthcare infrastructure. Despite being the economic hub of Africa, Johannesburg grapples with a severe shortage of trained</w:t>
      </w:r>
      <w:r>
        <w:t xml:space="preserve"> </w:t>
      </w:r>
      <w:r>
        <w:rPr>
          <w:bCs/>
          <w:b/>
        </w:rPr>
        <w:t xml:space="preserve">Ophthalmologist</w:t>
      </w:r>
      <w:r>
        <w:t xml:space="preserve"> </w:t>
      </w:r>
      <w:r>
        <w:t xml:space="preserve">professionals, particularly in public healthcare facilities serving low-income communities. This thesis proposal addresses the urgent need to investigate systemic barriers to ophthalmological care access in Johannesburg and develop actionable strategies to optimize the role of</w:t>
      </w:r>
      <w:r>
        <w:t xml:space="preserve"> </w:t>
      </w:r>
      <w:r>
        <w:rPr>
          <w:bCs/>
          <w:b/>
        </w:rPr>
        <w:t xml:space="preserve">Ophthalmologist</w:t>
      </w:r>
      <w:r>
        <w:t xml:space="preserve"> </w:t>
      </w:r>
      <w:r>
        <w:t xml:space="preserve">practitioners within South Africa's unique healthcare context.</w:t>
      </w:r>
    </w:p>
    <w:bookmarkEnd w:id="20"/>
    <w:bookmarkStart w:id="21" w:name="problem-statement"/>
    <w:p>
      <w:pPr>
        <w:pStyle w:val="Heading2"/>
      </w:pPr>
      <w:r>
        <w:t xml:space="preserve">2. Problem Statement</w:t>
      </w:r>
    </w:p>
    <w:p>
      <w:pPr>
        <w:pStyle w:val="FirstParagraph"/>
      </w:pPr>
      <w:r>
        <w:t xml:space="preserve">South Africa Johannesburg faces a critical deficit in ophthalmological services: the country has only 0.8 ophthalmologists per 100,000 people—well below the WHO-recommended ratio of 1 per 50,000. In Johannesburg's public sector (serving &gt;75% of residents), facilities like Chris Hani Baragwanath Hospital and Johannesburg General Hospital report average patient waiting times exceeding six months for cataract surgery alone. Meanwhile, private healthcare access remains concentrated among high-income populations, leaving marginalized groups—including rural migrants, informal settlement dwellers, and elderly communities—vulnerable to preventable blindness from conditions like diabetic retinopathy and glaucoma. This disparity directly contradicts South Africa's National Health Insurance (NHI) goals of equitable healthcare access. The absence of context-specific research on</w:t>
      </w:r>
      <w:r>
        <w:t xml:space="preserve"> </w:t>
      </w:r>
      <w:r>
        <w:rPr>
          <w:bCs/>
          <w:b/>
        </w:rPr>
        <w:t xml:space="preserve">Ophthalmologist</w:t>
      </w:r>
      <w:r>
        <w:t xml:space="preserve"> </w:t>
      </w:r>
      <w:r>
        <w:t xml:space="preserve">deployment strategies in Johannesburg further hinders evidence-based policy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ophthalmological service provision across public and private facilities in Johannesburg, quantifying workforce distribution, equipment availability, and patient flow metrics.</w:t>
      </w:r>
    </w:p>
    <w:p>
      <w:pPr>
        <w:numPr>
          <w:ilvl w:val="0"/>
          <w:numId w:val="1001"/>
        </w:numPr>
        <w:pStyle w:val="Compact"/>
      </w:pPr>
      <w:r>
        <w:t xml:space="preserve">To identify socio-demographic and systemic barriers (e.g., transportation costs, language gaps, referral system inefficiencies) limiting access to</w:t>
      </w:r>
      <w:r>
        <w:t xml:space="preserve"> </w:t>
      </w:r>
      <w:r>
        <w:rPr>
          <w:bCs/>
          <w:b/>
        </w:rPr>
        <w:t xml:space="preserve">Ophthalmologist</w:t>
      </w:r>
      <w:r>
        <w:t xml:space="preserve"> </w:t>
      </w:r>
      <w:r>
        <w:t xml:space="preserve">services for priority groups.</w:t>
      </w:r>
    </w:p>
    <w:p>
      <w:pPr>
        <w:numPr>
          <w:ilvl w:val="0"/>
          <w:numId w:val="1001"/>
        </w:numPr>
        <w:pStyle w:val="Compact"/>
      </w:pPr>
      <w:r>
        <w:t xml:space="preserve">To evaluate the cost-effectiveness of innovative models (mobile clinics, tele-ophthalmology partnerships with academic institutions) in expanding coverage within South Africa Johannesburg's resource-constrained environment.</w:t>
      </w:r>
    </w:p>
    <w:p>
      <w:pPr>
        <w:numPr>
          <w:ilvl w:val="0"/>
          <w:numId w:val="1001"/>
        </w:numPr>
        <w:pStyle w:val="Compact"/>
      </w:pPr>
      <w:r>
        <w:t xml:space="preserve">To develop a scalable framework for optimizing</w:t>
      </w:r>
      <w:r>
        <w:t xml:space="preserve"> </w:t>
      </w:r>
      <w:r>
        <w:rPr>
          <w:bCs/>
          <w:b/>
        </w:rPr>
        <w:t xml:space="preserve">Ophthalmologist</w:t>
      </w:r>
      <w:r>
        <w:t xml:space="preserve"> </w:t>
      </w:r>
      <w:r>
        <w:t xml:space="preserve">workforce deployment aligned with Johannesburg's demographic and epidemiological profile.</w:t>
      </w:r>
    </w:p>
    <w:bookmarkEnd w:id="22"/>
    <w:bookmarkStart w:id="23" w:name="X1bc277a1e7b611e990c5955970d2e0a2a539e33"/>
    <w:p>
      <w:pPr>
        <w:pStyle w:val="Heading2"/>
      </w:pPr>
      <w:r>
        <w:t xml:space="preserve">4. Literature Review: Contextualizing the Gap</w:t>
      </w:r>
    </w:p>
    <w:p>
      <w:pPr>
        <w:pStyle w:val="FirstParagraph"/>
      </w:pPr>
      <w:r>
        <w:t xml:space="preserve">Existing South African studies (e.g., van Rensburg et al., 2019; Bopape et al., 2021) confirm ophthalmic care shortages but largely focus on national statistics without Johannesburg-specific granularity. International research from India and Kenya highlights successful mobile unit models, yet fails to account for South Africa's unique governance structure (provincial vs. municipal services) and high HIV/AIDS comorbidity rates affecting eye health. Crucially, no prior thesis has examined how Johannesburg's urbanization patterns—marked by sprawling informal settlements like Soweto and Alexandra—impact ophthalmological service delivery. This proposal bridges this critical gap by centering the</w:t>
      </w:r>
      <w:r>
        <w:t xml:space="preserve"> </w:t>
      </w:r>
      <w:r>
        <w:rPr>
          <w:bCs/>
          <w:b/>
        </w:rPr>
        <w:t xml:space="preserve">Thesis Proposal</w:t>
      </w:r>
      <w:r>
        <w:t xml:space="preserve"> </w:t>
      </w:r>
      <w:r>
        <w:t xml:space="preserve">on Johannesburg's lived realities, ensuring interventions are culturally and contextually anchored.</w:t>
      </w:r>
    </w:p>
    <w:bookmarkEnd w:id="23"/>
    <w:bookmarkStart w:id="24" w:name="methodology"/>
    <w:p>
      <w:pPr>
        <w:pStyle w:val="Heading2"/>
      </w:pPr>
      <w:r>
        <w:t xml:space="preserve">5. Methodology</w:t>
      </w:r>
    </w:p>
    <w:p>
      <w:pPr>
        <w:pStyle w:val="FirstParagraph"/>
      </w:pPr>
      <w:r>
        <w:t xml:space="preserve">This mixed-methods study will employ a sequential design across 18 months:</w:t>
      </w:r>
    </w:p>
    <w:p>
      <w:pPr>
        <w:numPr>
          <w:ilvl w:val="0"/>
          <w:numId w:val="1002"/>
        </w:numPr>
        <w:pStyle w:val="Compact"/>
      </w:pPr>
      <w:r>
        <w:rPr>
          <w:bCs/>
          <w:b/>
        </w:rPr>
        <w:t xml:space="preserve">Phase 1 (Quantitative):</w:t>
      </w:r>
      <w:r>
        <w:t xml:space="preserve"> </w:t>
      </w:r>
      <w:r>
        <w:t xml:space="preserve">Stratified sampling of 30 facilities (15 public, 15 private) across Johannesburg’s eight metropolitan sub-districts. Data collection includes staff surveys (n=200), patient waiting time logs, and equipment audits.</w:t>
      </w:r>
    </w:p>
    <w:p>
      <w:pPr>
        <w:numPr>
          <w:ilvl w:val="0"/>
          <w:numId w:val="1002"/>
        </w:numPr>
        <w:pStyle w:val="Compact"/>
      </w:pPr>
      <w:r>
        <w:rPr>
          <w:bCs/>
          <w:b/>
        </w:rPr>
        <w:t xml:space="preserve">Phase 2 (Qualitative):</w:t>
      </w:r>
      <w:r>
        <w:t xml:space="preserve"> </w:t>
      </w:r>
      <w:r>
        <w:t xml:space="preserve">In-depth interviews with 40 stakeholders—including</w:t>
      </w:r>
      <w:r>
        <w:t xml:space="preserve"> </w:t>
      </w:r>
      <w:r>
        <w:rPr>
          <w:bCs/>
          <w:b/>
        </w:rPr>
        <w:t xml:space="preserve">Ophthalmologist</w:t>
      </w:r>
      <w:r>
        <w:t xml:space="preserve">s, community health workers, NHI policymakers—and focus groups with 150 patients from high-need communities (e.g., Alexandra Township, Diepsloot).</w:t>
      </w:r>
    </w:p>
    <w:p>
      <w:pPr>
        <w:numPr>
          <w:ilvl w:val="0"/>
          <w:numId w:val="1002"/>
        </w:numPr>
        <w:pStyle w:val="Compact"/>
      </w:pPr>
      <w:r>
        <w:rPr>
          <w:bCs/>
          <w:b/>
        </w:rPr>
        <w:t xml:space="preserve">Data Analysis:</w:t>
      </w:r>
      <w:r>
        <w:t xml:space="preserve"> </w:t>
      </w:r>
      <w:r>
        <w:t xml:space="preserve">SPSS for statistical analysis of service metrics; NVivo for thematic coding of qualitative data. Cost-benefit modeling will assess feasibility of proposed interventions.</w:t>
      </w:r>
    </w:p>
    <w:p>
      <w:pPr>
        <w:pStyle w:val="FirstParagraph"/>
      </w:pPr>
      <w:r>
        <w:t xml:space="preserve">Triangulation across datasets ensures robustness. Ethical approval will be sought from the University of Johannesburg's Research Ethics Committee, with community engagement via partnerships with Johannesburg Eye Hospital and the South African National Department of Health.</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outcomes:</w:t>
      </w:r>
    </w:p>
    <w:p>
      <w:pPr>
        <w:numPr>
          <w:ilvl w:val="0"/>
          <w:numId w:val="1003"/>
        </w:numPr>
        <w:pStyle w:val="Compact"/>
      </w:pPr>
      <w:r>
        <w:t xml:space="preserve">A first-of-its-kind geographic information system (GIS) map identifying "ophthalmic deserts" in Johannesburg, pinpointing high-need zones requiring urgent resource allocation.</w:t>
      </w:r>
    </w:p>
    <w:p>
      <w:pPr>
        <w:numPr>
          <w:ilvl w:val="0"/>
          <w:numId w:val="1003"/>
        </w:numPr>
        <w:pStyle w:val="Compact"/>
      </w:pPr>
      <w:r>
        <w:t xml:space="preserve">Validation of a hybrid care model integrating tele-consultations with on-ground</w:t>
      </w:r>
      <w:r>
        <w:t xml:space="preserve"> </w:t>
      </w:r>
      <w:r>
        <w:rPr>
          <w:bCs/>
          <w:b/>
        </w:rPr>
        <w:t xml:space="preserve">Ophthalmologist</w:t>
      </w:r>
      <w:r>
        <w:t xml:space="preserve"> </w:t>
      </w:r>
      <w:r>
        <w:t xml:space="preserve">support, projected to reduce wait times by 40% at public facilities.</w:t>
      </w:r>
    </w:p>
    <w:p>
      <w:pPr>
        <w:numPr>
          <w:ilvl w:val="0"/>
          <w:numId w:val="1003"/>
        </w:numPr>
        <w:pStyle w:val="Compact"/>
      </w:pPr>
      <w:r>
        <w:t xml:space="preserve">A policy toolkit for South Africa Johannesburg’s Department of Health, including workforce retention strategies (e.g., targeted housing allowances for rural-trained ophthalmologists) and community navigator programs to improve appointment adherence.</w:t>
      </w:r>
    </w:p>
    <w:p>
      <w:pPr>
        <w:pStyle w:val="FirstParagraph"/>
      </w:pPr>
      <w:r>
        <w:t xml:space="preserve">The significance extends beyond academia: findings will directly inform Johannesburg's Municipal Health Strategy 2024–2030 and contribute to South Africa’s NHI implementation. By centering the</w:t>
      </w:r>
      <w:r>
        <w:t xml:space="preserve"> </w:t>
      </w:r>
      <w:r>
        <w:rPr>
          <w:bCs/>
          <w:b/>
        </w:rPr>
        <w:t xml:space="preserve">Ophthalmologist</w:t>
      </w:r>
      <w:r>
        <w:t xml:space="preserve"> </w:t>
      </w:r>
      <w:r>
        <w:t xml:space="preserve">as a strategic asset—not merely a clinical role—the thesis positions eye health as integral to broader economic productivity, given that visual impairment costs South Africa an estimated R15 billion annually in lost earnings.</w:t>
      </w:r>
    </w:p>
    <w:bookmarkEnd w:id="25"/>
    <w:bookmarkStart w:id="26" w:name="timeline-and-feasibility"/>
    <w:p>
      <w:pPr>
        <w:pStyle w:val="Heading2"/>
      </w:pPr>
      <w:r>
        <w:t xml:space="preserve">7. Timeline and Feasibility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Ethical approval; Stakeholder engagement (Johannesburg Health Department, SANC)</w:t>
            </w:r>
          </w:p>
        </w:tc>
      </w:tr>
      <w:tr>
        <w:tc>
          <w:tcPr/>
          <w:p>
            <w:pPr>
              <w:pStyle w:val="Compact"/>
              <w:jc w:val="left"/>
            </w:pPr>
            <w:r>
              <w:t xml:space="preserve">Months 4–7</w:t>
            </w:r>
          </w:p>
          <w:p>
            <w:pPr>
              <w:jc w:val="left"/>
            </w:pPr>
            <w:r>
              <w:t xml:space="preserve">Data collection: Facility audits, staff/patient surveys across Johannesburg sub-districts</w:t>
            </w:r>
          </w:p>
        </w:tc>
        <w:tc>
          <w:tcPr/>
          <w:p>
            <w:pPr>
              <w:pStyle w:val="Compact"/>
            </w:pPr>
          </w:p>
        </w:tc>
      </w:tr>
      <w:tr>
        <w:tc>
          <w:tcPr/>
          <w:p>
            <w:pPr>
              <w:pStyle w:val="Compact"/>
              <w:jc w:val="left"/>
            </w:pPr>
            <w:r>
              <w:t xml:space="preserve">Months 8–10</w:t>
            </w:r>
          </w:p>
        </w:tc>
        <w:tc>
          <w:tcPr/>
          <w:p>
            <w:pPr>
              <w:pStyle w:val="Compact"/>
              <w:jc w:val="left"/>
            </w:pPr>
            <w:r>
              <w:t xml:space="preserve">Data analysis; Stakeholder validation workshops in Johannesburg's community hubs (e.g., Soweto Community Centre)</w:t>
            </w:r>
          </w:p>
        </w:tc>
      </w:tr>
      <w:tr>
        <w:tc>
          <w:tcPr/>
          <w:p>
            <w:pPr>
              <w:pStyle w:val="Compact"/>
              <w:jc w:val="left"/>
            </w:pPr>
            <w:r>
              <w:t xml:space="preserve">Months 11–12</w:t>
            </w:r>
          </w:p>
        </w:tc>
        <w:tc>
          <w:tcPr/>
          <w:p>
            <w:pPr>
              <w:pStyle w:val="Compact"/>
              <w:jc w:val="left"/>
            </w:pPr>
            <w:r>
              <w:t xml:space="preserve">Drafting thesis; Policy brief preparation for South Africa National Department of Health</w:t>
            </w:r>
          </w:p>
        </w:tc>
      </w:tr>
    </w:tbl>
    <w:bookmarkEnd w:id="26"/>
    <w:bookmarkStart w:id="27" w:name="conclusion"/>
    <w:p>
      <w:pPr>
        <w:pStyle w:val="Heading2"/>
      </w:pPr>
      <w:r>
        <w:t xml:space="preserve">8. Conclusion</w:t>
      </w:r>
    </w:p>
    <w:p>
      <w:pPr>
        <w:pStyle w:val="FirstParagraph"/>
      </w:pPr>
      <w:r>
        <w:t xml:space="preserve">The proposed</w:t>
      </w:r>
      <w:r>
        <w:t xml:space="preserve"> </w:t>
      </w:r>
      <w:r>
        <w:rPr>
          <w:bCs/>
          <w:b/>
        </w:rPr>
        <w:t xml:space="preserve">Thesis Proposal</w:t>
      </w:r>
      <w:r>
        <w:t xml:space="preserve"> </w:t>
      </w:r>
      <w:r>
        <w:t xml:space="preserve">responds to an urgent, unmet need in South Africa Johannesburg: transforming ophthalmological care from a fragmented service into a pillar of equitable healthcare access. By rigorously investigating the operational realities faced by both practitioners and patients, this research will empower South Africa to leverage its existing</w:t>
      </w:r>
      <w:r>
        <w:t xml:space="preserve"> </w:t>
      </w:r>
      <w:r>
        <w:rPr>
          <w:bCs/>
          <w:b/>
        </w:rPr>
        <w:t xml:space="preserve">Ophthalmologist</w:t>
      </w:r>
      <w:r>
        <w:t xml:space="preserve"> </w:t>
      </w:r>
      <w:r>
        <w:t xml:space="preserve">workforce more effectively—turning Johannesburg from a symbol of healthcare inequality into a model for urban eye health innovation on the African continent. This work transcends clinical care; it is an investment in human potential, economic resilience, and the fundamental right to sight for all residents of South Africa Johannesburg.</w:t>
      </w:r>
    </w:p>
    <w:bookmarkEnd w:id="27"/>
    <w:bookmarkStart w:id="28" w:name="references-selected"/>
    <w:p>
      <w:pPr>
        <w:pStyle w:val="Heading2"/>
      </w:pPr>
      <w:r>
        <w:t xml:space="preserve">9. References (Selected)</w:t>
      </w:r>
    </w:p>
    <w:p>
      <w:pPr>
        <w:numPr>
          <w:ilvl w:val="0"/>
          <w:numId w:val="1004"/>
        </w:numPr>
        <w:pStyle w:val="Compact"/>
      </w:pPr>
      <w:r>
        <w:t xml:space="preserve">Bopape, M., et al. (2021). "Ophthalmic Services in South Africa: A National Assessment." *South African Journal of Ophthalmology*, 35(4), pp. 187–193.</w:t>
      </w:r>
    </w:p>
    <w:p>
      <w:pPr>
        <w:numPr>
          <w:ilvl w:val="0"/>
          <w:numId w:val="1004"/>
        </w:numPr>
        <w:pStyle w:val="Compact"/>
      </w:pPr>
      <w:r>
        <w:t xml:space="preserve">Van Rensburg, E., et al. (2019). "Workforce Shortages and Service Delivery in South Africa’s Public Health System." *Health Policy and Planning*, 34(8), pp. 654–663.</w:t>
      </w:r>
    </w:p>
    <w:p>
      <w:pPr>
        <w:numPr>
          <w:ilvl w:val="0"/>
          <w:numId w:val="1004"/>
        </w:numPr>
        <w:pStyle w:val="Compact"/>
      </w:pPr>
      <w:r>
        <w:t xml:space="preserve">World Health Organization (2021). *Global Report on Visual Impairment*. Geneva: WHO.</w:t>
      </w:r>
    </w:p>
    <w:p>
      <w:pPr>
        <w:numPr>
          <w:ilvl w:val="0"/>
          <w:numId w:val="1004"/>
        </w:numPr>
        <w:pStyle w:val="Compact"/>
      </w:pPr>
      <w:r>
        <w:t xml:space="preserve">South Africa Department of Health. (2019). *National Eye Health Policy Framework*. Pretoria: DoH.</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South Africa Johannesburg</dc:title>
  <dc:creator/>
  <dc:language>en</dc:language>
  <cp:keywords/>
  <dcterms:created xsi:type="dcterms:W3CDTF">2025-12-13T09:59:52Z</dcterms:created>
  <dcterms:modified xsi:type="dcterms:W3CDTF">2025-12-13T09:59:52Z</dcterms:modified>
</cp:coreProperties>
</file>

<file path=docProps/custom.xml><?xml version="1.0" encoding="utf-8"?>
<Properties xmlns="http://schemas.openxmlformats.org/officeDocument/2006/custom-properties" xmlns:vt="http://schemas.openxmlformats.org/officeDocument/2006/docPropsVTypes"/>
</file>