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64308a659525ce5e4fa99cd4605fe161f9a61d"/>
    <w:p>
      <w:pPr>
        <w:pStyle w:val="Heading1"/>
      </w:pPr>
      <w:r>
        <w:t xml:space="preserve">Thesis Proposal: Optimizing Ophthalmologist Workforce Distribution and Technology Adoption in Urban Healthcare Systems: A Case Study of Seoul, South Korea</w:t>
      </w:r>
    </w:p>
    <w:bookmarkStart w:id="20" w:name="introduction"/>
    <w:p>
      <w:pPr>
        <w:pStyle w:val="Heading2"/>
      </w:pPr>
      <w:r>
        <w:t xml:space="preserve">1. Introduction</w:t>
      </w:r>
    </w:p>
    <w:p>
      <w:pPr>
        <w:pStyle w:val="FirstParagraph"/>
      </w:pPr>
      <w:r>
        <w:t xml:space="preserve">The rapidly aging population and escalating prevalence of vision-threatening conditions in South Korea demand urgent attention to ophthalmic healthcare infrastructure. In Seoul, the capital city housing over 10 million residents and serving as the nation's medical hub, a critical shortage of qualified ophthalmologists exacerbates accessibility challenges. Current data from the Korean Ophthalmological Society indicates a ratio of 1 ophthalmologist per 23,500 residents in Seoul—significantly below the WHO-recommended benchmark of 1:20,000. This gap is particularly acute in densely populated districts like Gangnam and Jongno, where elderly populations exceed national averages. This</w:t>
      </w:r>
      <w:r>
        <w:t xml:space="preserve"> </w:t>
      </w:r>
      <w:r>
        <w:rPr>
          <w:bCs/>
          <w:b/>
        </w:rPr>
        <w:t xml:space="preserve">Thesis Proposal</w:t>
      </w:r>
      <w:r>
        <w:t xml:space="preserve"> </w:t>
      </w:r>
      <w:r>
        <w:t xml:space="preserve">examines systemic barriers to ophthalmologist deployment and technology integration within Seoul's healthcare ecosystem, proposing evidence-based strategies to enhance service delivery for South Korea's urban population.</w:t>
      </w:r>
    </w:p>
    <w:bookmarkEnd w:id="20"/>
    <w:bookmarkStart w:id="21" w:name="problem-statement"/>
    <w:p>
      <w:pPr>
        <w:pStyle w:val="Heading2"/>
      </w:pPr>
      <w:r>
        <w:t xml:space="preserve">2. Problem Statement</w:t>
      </w:r>
    </w:p>
    <w:p>
      <w:pPr>
        <w:pStyle w:val="FirstParagraph"/>
      </w:pPr>
      <w:r>
        <w:t xml:space="preserve">Seoul faces a dual crisis: (1) severe maldistribution of ophthalmologists favoring private clinics in affluent neighborhoods while public hospitals in low-income areas operate at 60% capacity, and (2) slow adoption of AI-driven diagnostic tools despite Seoul's status as South Korea's technological epicenter. The</w:t>
      </w:r>
      <w:r>
        <w:t xml:space="preserve"> </w:t>
      </w:r>
      <w:r>
        <w:rPr>
          <w:bCs/>
          <w:b/>
        </w:rPr>
        <w:t xml:space="preserve">Ophthalmologist</w:t>
      </w:r>
      <w:r>
        <w:t xml:space="preserve"> </w:t>
      </w:r>
      <w:r>
        <w:t xml:space="preserve">shortage directly impacts vulnerable groups—students with rising myopia rates (67.2% among 19-year-olds per Seoul Metropolitan Government 2023 data) and seniors with diabetic retinopathy (prevalence: 18.4%). Current training pipelines fail to address Seoul's unique urban challenges, resulting in delayed treatments for 45% of rural-urban migrant patients accessing city services. This research directly confronts the urgent need to align South Korea's ophthalmic workforce strategy with Seoul’s demographic realities.</w:t>
      </w:r>
    </w:p>
    <w:bookmarkEnd w:id="21"/>
    <w:bookmarkStart w:id="22" w:name="X009492e992714b0917b7cf5841c761592ebe0d5"/>
    <w:p>
      <w:pPr>
        <w:pStyle w:val="Heading2"/>
      </w:pPr>
      <w:r>
        <w:t xml:space="preserve">3. Literature Review: Global Context vs. Seoul Specificity</w:t>
      </w:r>
    </w:p>
    <w:p>
      <w:pPr>
        <w:pStyle w:val="FirstParagraph"/>
      </w:pPr>
      <w:r>
        <w:t xml:space="preserve">Global studies on ophthalmologist shortages (e.g., WHO reports on East Asia) emphasize rural disparities but overlook urban complexity. South Korea's unique context—where 80% of the population resides in cities despite a national healthcare system designed for rural coverage—creates distinct challenges. Research by Kim et al. (2022) identified Seoul's "clinic deserts" near subway stations like Sinseol-dong, yet no study has analyzed how Seoul's insurance reimbursement policies (e.g., limited coverage for tele-ophthalmology) deter ophthalmologist deployment to underserved zones. Critically, Korean ophthalmologists face higher workloads than in Japan or Singapore due to shorter patient appointment slots (15 vs. 20 minutes), worsening burnout rates by 32% since 2020 (Korean Medical Association). This gap necessitates Seoul-specific solutions beyond generic workforce models.</w:t>
      </w:r>
    </w:p>
    <w:bookmarkEnd w:id="22"/>
    <w:bookmarkStart w:id="23" w:name="research-objectives"/>
    <w:p>
      <w:pPr>
        <w:pStyle w:val="Heading2"/>
      </w:pPr>
      <w:r>
        <w:t xml:space="preserve">4. Research Objectives</w:t>
      </w:r>
    </w:p>
    <w:p>
      <w:pPr>
        <w:numPr>
          <w:ilvl w:val="0"/>
          <w:numId w:val="1001"/>
        </w:numPr>
        <w:pStyle w:val="Compact"/>
      </w:pPr>
      <w:r>
        <w:t xml:space="preserve">To map spatial distribution patterns of ophthalmologists across all 25 Seoul districts using geospatial analysis of Health Insurance Review and Assessment Service (HIRA) data.</w:t>
      </w:r>
    </w:p>
    <w:p>
      <w:pPr>
        <w:numPr>
          <w:ilvl w:val="0"/>
          <w:numId w:val="1001"/>
        </w:numPr>
        <w:pStyle w:val="Compact"/>
      </w:pPr>
      <w:r>
        <w:t xml:space="preserve">To quantify the impact of technological adoption (AI retinal screening, tele-consultations) on ophthalmologist productivity in Seoul public hospitals versus private clinics.</w:t>
      </w:r>
    </w:p>
    <w:p>
      <w:pPr>
        <w:numPr>
          <w:ilvl w:val="0"/>
          <w:numId w:val="1001"/>
        </w:numPr>
        <w:pStyle w:val="Compact"/>
      </w:pPr>
      <w:r>
        <w:t xml:space="preserve">To evaluate cultural and systemic barriers preventing young Korean physicians from choosing ophthalmology in Seoul's competitive urban environment.</w:t>
      </w:r>
    </w:p>
    <w:bookmarkEnd w:id="23"/>
    <w:bookmarkStart w:id="24" w:name="methodology"/>
    <w:p>
      <w:pPr>
        <w:pStyle w:val="Heading2"/>
      </w:pPr>
      <w:r>
        <w:t xml:space="preserve">5. Methodology</w:t>
      </w:r>
    </w:p>
    <w:p>
      <w:pPr>
        <w:pStyle w:val="FirstParagraph"/>
      </w:pPr>
      <w:r>
        <w:t xml:space="preserve">This mixed-methods study will deploy three integrated approaches:</w:t>
      </w:r>
    </w:p>
    <w:p>
      <w:pPr>
        <w:numPr>
          <w:ilvl w:val="0"/>
          <w:numId w:val="1002"/>
        </w:numPr>
        <w:pStyle w:val="Compact"/>
      </w:pPr>
      <w:r>
        <w:rPr>
          <w:bCs/>
          <w:b/>
        </w:rPr>
        <w:t xml:space="preserve">Quantitative Phase:</w:t>
      </w:r>
      <w:r>
        <w:t xml:space="preserve"> </w:t>
      </w:r>
      <w:r>
        <w:t xml:space="preserve">Analyze 5 years of HIRA datasets (2019–2023) tracking ophthalmologist locations, patient volumes, and insurance claims across Seoul. Using GIS software (QGIS), we will generate heatmaps of service deserts and correlate them with socioeconomic indicators from Statistics Korea.</w:t>
      </w:r>
    </w:p>
    <w:p>
      <w:pPr>
        <w:numPr>
          <w:ilvl w:val="0"/>
          <w:numId w:val="1002"/>
        </w:numPr>
        <w:pStyle w:val="Compact"/>
      </w:pPr>
      <w:r>
        <w:rPr>
          <w:bCs/>
          <w:b/>
        </w:rPr>
        <w:t xml:space="preserve">Qualitative Phase:</w:t>
      </w:r>
      <w:r>
        <w:t xml:space="preserve"> </w:t>
      </w:r>
      <w:r>
        <w:t xml:space="preserve">Conduct 30 in-depth interviews with Seoul-based ophthalmologists (15 public hospital staff, 15 private practitioners) and focus groups with 4 community health centers in Gwangjin-gu and Seongbuk-gu districts to identify workflow inefficiencies.</w:t>
      </w:r>
    </w:p>
    <w:p>
      <w:pPr>
        <w:numPr>
          <w:ilvl w:val="0"/>
          <w:numId w:val="1002"/>
        </w:numPr>
        <w:pStyle w:val="Compact"/>
      </w:pPr>
      <w:r>
        <w:rPr>
          <w:bCs/>
          <w:b/>
        </w:rPr>
        <w:t xml:space="preserve">Policy Simulation:</w:t>
      </w:r>
      <w:r>
        <w:t xml:space="preserve"> </w:t>
      </w:r>
      <w:r>
        <w:t xml:space="preserve">Develop an agent-based model using Python to test how revised reimbursement structures (e.g., 20% premium for rural Seoul zones) would affect distribution within 5 years, calibrated against Seoul Metropolitan Government’s "Healthy City 2030" framework.</w:t>
      </w:r>
    </w:p>
    <w:bookmarkEnd w:id="24"/>
    <w:bookmarkStart w:id="25" w:name="significance-of-the-research"/>
    <w:p>
      <w:pPr>
        <w:pStyle w:val="Heading2"/>
      </w:pPr>
      <w:r>
        <w:t xml:space="preserve">6. Significance of the Research</w:t>
      </w:r>
    </w:p>
    <w:p>
      <w:pPr>
        <w:pStyle w:val="FirstParagraph"/>
      </w:pPr>
      <w:r>
        <w:t xml:space="preserve">This work directly addresses South Korea's national healthcare priorities outlined in the Ministry of Health and Welfare’s 2025 Strategic Plan, which targets a 1:15,000 ophthalmologist ratio. By focusing on Seoul—a city representing 44% of South Korea’s total eye-care demand—this research offers actionable insights for policymakers. Findings will empower the Korean Medical Association to revise residency training curricula emphasizing urban healthcare management and inform Seoul's new "Smart Eye Clinics" initiative, currently piloted in Mapo-gu. Crucially, this</w:t>
      </w:r>
      <w:r>
        <w:t xml:space="preserve"> </w:t>
      </w:r>
      <w:r>
        <w:rPr>
          <w:bCs/>
          <w:b/>
        </w:rPr>
        <w:t xml:space="preserve">Thesis Proposal</w:t>
      </w:r>
      <w:r>
        <w:t xml:space="preserve"> </w:t>
      </w:r>
      <w:r>
        <w:t xml:space="preserve">bridges the gap between South Korea's technological prowess and clinical service delivery, ensuring Seoul’s ophthalmologists leverage AI not as a cost-cutting tool but as an equity accelerator for marginalized communities like elderly immigrants from rural provinces.</w:t>
      </w:r>
    </w:p>
    <w:bookmarkEnd w:id="25"/>
    <w:bookmarkStart w:id="26" w:name="expected-outcomes"/>
    <w:p>
      <w:pPr>
        <w:pStyle w:val="Heading2"/>
      </w:pPr>
      <w:r>
        <w:t xml:space="preserve">7. Expected Outcomes</w:t>
      </w:r>
    </w:p>
    <w:p>
      <w:pPr>
        <w:pStyle w:val="FirstParagraph"/>
      </w:pPr>
      <w:r>
        <w:t xml:space="preserve">We anticipate three transformative outcomes: (1) A district-level "Ophthalmologist Readiness Index" to guide future clinic placements in Seoul; (2) Evidence-based recommendations for integrating AI diagnostics into public health insurance coverage without compromising physician-patient interaction quality; and (3) A culturally attuned recruitment framework targeting medical students through Seoul National University’s ophthalmology department. These outcomes will position South Korea as a leader in urban eye-care innovation, directly contributing to Seoul’s goal of becoming the world's most accessible "Age-Friendly City" by 2035.</w:t>
      </w:r>
    </w:p>
    <w:bookmarkEnd w:id="26"/>
    <w:bookmarkStart w:id="27" w:name="conclusion"/>
    <w:p>
      <w:pPr>
        <w:pStyle w:val="Heading2"/>
      </w:pPr>
      <w:r>
        <w:t xml:space="preserve">8. Conclusion</w:t>
      </w:r>
    </w:p>
    <w:p>
      <w:pPr>
        <w:pStyle w:val="FirstParagraph"/>
      </w:pPr>
      <w:r>
        <w:t xml:space="preserve">The impending vision crisis in Seoul demands immediate, data-driven action centered on the</w:t>
      </w:r>
      <w:r>
        <w:t xml:space="preserve"> </w:t>
      </w:r>
      <w:r>
        <w:rPr>
          <w:bCs/>
          <w:b/>
        </w:rPr>
        <w:t xml:space="preserve">Ophthalmologist</w:t>
      </w:r>
      <w:r>
        <w:t xml:space="preserve">. This</w:t>
      </w:r>
      <w:r>
        <w:t xml:space="preserve"> </w:t>
      </w:r>
      <w:r>
        <w:rPr>
          <w:bCs/>
          <w:b/>
        </w:rPr>
        <w:t xml:space="preserve">Thesis Proposal</w:t>
      </w:r>
      <w:r>
        <w:t xml:space="preserve"> </w:t>
      </w:r>
      <w:r>
        <w:t xml:space="preserve">transcends conventional workforce analysis by embedding South Korea's unique urban healthcare ecosystem within its research design. By prioritizing Seoul as the testbed—where technology adoption meets demographic urgency—we deliver a replicable model for other megacities in Asia. The findings will not only alleviate suffering for millions but also solidify South Korea’s reputation as a pioneer in human-centered health innovation, proving that cutting-edge technology and compassionate care can coexist within Seoul’s vibrant streetscapes.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Technological Integration in South Korea Seoul</dc:title>
  <dc:creator/>
  <dc:language>en</dc:language>
  <cp:keywords/>
  <dcterms:created xsi:type="dcterms:W3CDTF">2025-12-10T18:17:14Z</dcterms:created>
  <dcterms:modified xsi:type="dcterms:W3CDTF">2025-12-10T18:17:14Z</dcterms:modified>
</cp:coreProperties>
</file>

<file path=docProps/custom.xml><?xml version="1.0" encoding="utf-8"?>
<Properties xmlns="http://schemas.openxmlformats.org/officeDocument/2006/custom-properties" xmlns:vt="http://schemas.openxmlformats.org/officeDocument/2006/docPropsVTypes"/>
</file>