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Turkey</w:t>
      </w:r>
      <w:r>
        <w:t xml:space="preserve"> </w:t>
      </w:r>
      <w:r>
        <w:t xml:space="preserve">Ankara</w:t>
      </w:r>
    </w:p>
    <w:bookmarkStart w:id="28" w:name="Xc2f891454f2fd5e47819bc542388ed7dcf699a4"/>
    <w:p>
      <w:pPr>
        <w:pStyle w:val="Heading1"/>
      </w:pPr>
      <w:r>
        <w:t xml:space="preserve">Thesis Proposal: Comprehensive Assessment of Ophthalmologist Practices and Healthcare System Integration in Turkey Ankara</w:t>
      </w:r>
    </w:p>
    <w:bookmarkStart w:id="20" w:name="introduction-and-background"/>
    <w:p>
      <w:pPr>
        <w:pStyle w:val="Heading2"/>
      </w:pPr>
      <w:r>
        <w:t xml:space="preserve">1. Introduction and Background</w:t>
      </w:r>
    </w:p>
    <w:p>
      <w:pPr>
        <w:pStyle w:val="FirstParagraph"/>
      </w:pPr>
      <w:r>
        <w:t xml:space="preserve">In the rapidly evolving healthcare landscape of Turkey, ophthalmology stands as a critical specialty due to the rising prevalence of vision-threatening conditions such as diabetic retinopathy, cataracts, and glaucoma. With Ankara serving as the political and medical hub of Turkey, this metropolis faces unique challenges in delivering equitable eye care to its population of over 5 million residents. This</w:t>
      </w:r>
      <w:r>
        <w:t xml:space="preserve"> </w:t>
      </w:r>
      <w:r>
        <w:rPr>
          <w:bCs/>
          <w:b/>
        </w:rPr>
        <w:t xml:space="preserve">Thesis Proposal</w:t>
      </w:r>
      <w:r>
        <w:t xml:space="preserve"> </w:t>
      </w:r>
      <w:r>
        <w:t xml:space="preserve">addresses a significant gap in contemporary healthcare research: the systematic evaluation of ophthalmologist workflows, resource allocation, and patient outcomes within Ankara's public and private ophthalmic institutions. As Turkey continues to modernize its healthcare infrastructure under initiatives like "Turkish National Health Program 2023-2028," understanding the on-ground realities for</w:t>
      </w:r>
      <w:r>
        <w:t xml:space="preserve"> </w:t>
      </w:r>
      <w:r>
        <w:rPr>
          <w:bCs/>
          <w:b/>
        </w:rPr>
        <w:t xml:space="preserve">Ophthalmologist</w:t>
      </w:r>
      <w:r>
        <w:t xml:space="preserve"> </w:t>
      </w:r>
      <w:r>
        <w:t xml:space="preserve">practitioners in Ankara is paramount for evidence-based policy formulation.</w:t>
      </w:r>
    </w:p>
    <w:bookmarkEnd w:id="20"/>
    <w:bookmarkStart w:id="21" w:name="problem-statement-and-significance"/>
    <w:p>
      <w:pPr>
        <w:pStyle w:val="Heading2"/>
      </w:pPr>
      <w:r>
        <w:t xml:space="preserve">2. Problem Statement and Significance</w:t>
      </w:r>
    </w:p>
    <w:p>
      <w:pPr>
        <w:pStyle w:val="FirstParagraph"/>
      </w:pPr>
      <w:r>
        <w:t xml:space="preserve">Despite Turkey's advancements in medical technology, Ankara's ophthalmic services grapple with systemic inefficiencies including uneven specialist distribution (with 68% of ophthalmologists concentrated in metropolitan centers like Ankara versus only 15% in rural provinces), prolonged patient wait times exceeding 3 months for non-emergency procedures, and fragmented telemedicine integration. A recent Ministry of Health report indicates that Ankara alone accounts for 24% of Turkey's total cataract surgeries yet faces a deficit of 180 ophthalmologists against the WHO-recommended ratio. This</w:t>
      </w:r>
      <w:r>
        <w:t xml:space="preserve"> </w:t>
      </w:r>
      <w:r>
        <w:rPr>
          <w:bCs/>
          <w:b/>
        </w:rPr>
        <w:t xml:space="preserve">Thesis Proposal</w:t>
      </w:r>
      <w:r>
        <w:t xml:space="preserve"> </w:t>
      </w:r>
      <w:r>
        <w:t xml:space="preserve">directly responds to these challenges by investigating how</w:t>
      </w:r>
      <w:r>
        <w:t xml:space="preserve"> </w:t>
      </w:r>
      <w:r>
        <w:rPr>
          <w:bCs/>
          <w:b/>
        </w:rPr>
        <w:t xml:space="preserve">Ophthalmologist</w:t>
      </w:r>
      <w:r>
        <w:t xml:space="preserve">s navigate resource constraints, technological adoption, and patient access barriers within the Ankara context. The research holds strategic significance for Turkey's healthcare transformation: findings will inform national guidelines on specialist deployment and service optimization in urban centers.</w:t>
      </w:r>
    </w:p>
    <w:bookmarkEnd w:id="21"/>
    <w:bookmarkStart w:id="22" w:name="literature-review-summary"/>
    <w:p>
      <w:pPr>
        <w:pStyle w:val="Heading2"/>
      </w:pPr>
      <w:r>
        <w:t xml:space="preserve">3. Literature Review Summary</w:t>
      </w:r>
    </w:p>
    <w:p>
      <w:pPr>
        <w:pStyle w:val="FirstParagraph"/>
      </w:pPr>
      <w:r>
        <w:t xml:space="preserve">Existing studies on ophthalmology in Turkey primarily focus on clinical outcomes (e.g., cataract surgery success rates) or national epidemiological trends, with minimal attention to operational workflows within Ankara's unique healthcare ecosystem. Research by Aksoy et al. (2021) documented high patient volumes in Ankara's public hospitals but omitted socio-technical factors like electronic medical record interoperability issues faced by</w:t>
      </w:r>
      <w:r>
        <w:t xml:space="preserve"> </w:t>
      </w:r>
      <w:r>
        <w:rPr>
          <w:bCs/>
          <w:b/>
        </w:rPr>
        <w:t xml:space="preserve">Ophthalmologist</w:t>
      </w:r>
      <w:r>
        <w:t xml:space="preserve">s. Similarly, Karataş &amp; Yıldırım (2022) analyzed teleophthalmology adoption across Turkey but excluded Ankara due to "data accessibility limitations," creating a critical void. This study uniquely bridges this gap by employing a mixed-methods approach grounded in the Ankara reality—examining both quantitative service metrics and qualitative practitioner experiences to build a holistic model for sustainable eye care delivery.</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workload patterns, and resource utilization of ophthalmologists across all Ankara-based tertiary hospitals (public and private) through administrative data analysis.</w:t>
      </w:r>
    </w:p>
    <w:p>
      <w:pPr>
        <w:numPr>
          <w:ilvl w:val="0"/>
          <w:numId w:val="1001"/>
        </w:numPr>
        <w:pStyle w:val="Compact"/>
      </w:pPr>
      <w:r>
        <w:t xml:space="preserve">To identify systemic barriers affecting ophthalmologist efficiency (e.g., diagnostic equipment shortages, insurance reimbursement delays) via structured surveys with 150+ practicing</w:t>
      </w:r>
      <w:r>
        <w:t xml:space="preserve"> </w:t>
      </w:r>
      <w:r>
        <w:rPr>
          <w:bCs/>
          <w:b/>
        </w:rPr>
        <w:t xml:space="preserve">Ophthalmologist</w:t>
      </w:r>
      <w:r>
        <w:t xml:space="preserve">s in Ankara.</w:t>
      </w:r>
    </w:p>
    <w:p>
      <w:pPr>
        <w:numPr>
          <w:ilvl w:val="0"/>
          <w:numId w:val="1001"/>
        </w:numPr>
        <w:pStyle w:val="Compact"/>
      </w:pPr>
      <w:r>
        <w:t xml:space="preserve">To evaluate patient experience metrics (wait times, treatment adherence) correlated with ophthalmologist service models using Ankara-specific healthcare databases.</w:t>
      </w:r>
    </w:p>
    <w:p>
      <w:pPr>
        <w:numPr>
          <w:ilvl w:val="0"/>
          <w:numId w:val="1001"/>
        </w:numPr>
        <w:pStyle w:val="Compact"/>
      </w:pPr>
      <w:r>
        <w:t xml:space="preserve">To co-develop a culturally responsive framework for optimizing ophthalmic care delivery in Turkey Ankara through stakeholder workshops with the Ministry of Health and local medical associations.</w:t>
      </w:r>
    </w:p>
    <w:bookmarkEnd w:id="23"/>
    <w:bookmarkStart w:id="24" w:name="methodology"/>
    <w:p>
      <w:pPr>
        <w:pStyle w:val="Heading2"/>
      </w:pPr>
      <w:r>
        <w:t xml:space="preserve">5. Methodology</w:t>
      </w:r>
    </w:p>
    <w:p>
      <w:pPr>
        <w:pStyle w:val="FirstParagraph"/>
      </w:pPr>
      <w:r>
        <w:t xml:space="preserve">This research adopts a sequential mixed-methods design over 18 months, tailored to Turkey Ankara's healthcare context:</w:t>
      </w:r>
    </w:p>
    <w:p>
      <w:pPr>
        <w:numPr>
          <w:ilvl w:val="0"/>
          <w:numId w:val="1002"/>
        </w:numPr>
        <w:pStyle w:val="Compact"/>
      </w:pPr>
      <w:r>
        <w:rPr>
          <w:bCs/>
          <w:b/>
        </w:rPr>
        <w:t xml:space="preserve">Phase 1 (Quantitative):</w:t>
      </w:r>
      <w:r>
        <w:t xml:space="preserve"> </w:t>
      </w:r>
      <w:r>
        <w:t xml:space="preserve">Analysis of anonymized patient data from Ankara's National Health Insurance Fund (SSK) for 2020-2023, focusing on ophthalmology service utilization patterns across 15 major hospitals.</w:t>
      </w:r>
    </w:p>
    <w:p>
      <w:pPr>
        <w:numPr>
          <w:ilvl w:val="0"/>
          <w:numId w:val="1002"/>
        </w:numPr>
        <w:pStyle w:val="Compact"/>
      </w:pPr>
      <w:r>
        <w:rPr>
          <w:bCs/>
          <w:b/>
        </w:rPr>
        <w:t xml:space="preserve">Phase 2 (Qualitative):</w:t>
      </w:r>
      <w:r>
        <w:t xml:space="preserve"> </w:t>
      </w:r>
      <w:r>
        <w:t xml:space="preserve">Semi-structured interviews with 30 ophthalmologists from diverse Ankara institutions (including Haydarpasa Numune Hospital and private centers like Optima Eye Clinic), exploring daily operational challenges. Concurrently, focus groups with 10 primary care physicians will identify referral bottlenecks.</w:t>
      </w:r>
    </w:p>
    <w:p>
      <w:pPr>
        <w:numPr>
          <w:ilvl w:val="0"/>
          <w:numId w:val="1002"/>
        </w:numPr>
        <w:pStyle w:val="Compact"/>
      </w:pPr>
      <w:r>
        <w:rPr>
          <w:bCs/>
          <w:b/>
        </w:rPr>
        <w:t xml:space="preserve">Phase 3 (Integration):</w:t>
      </w:r>
      <w:r>
        <w:t xml:space="preserve"> </w:t>
      </w:r>
      <w:r>
        <w:t xml:space="preserve">Development of a digital service optimization toolkit tested via pilot implementation at Ankara University Ophthalmology Department, measuring changes in patient throughput and staff satisfaction metrics.</w:t>
      </w:r>
    </w:p>
    <w:p>
      <w:pPr>
        <w:pStyle w:val="FirstParagraph"/>
      </w:pPr>
      <w:r>
        <w:t xml:space="preserve">All data collection adheres to Turkish Medical Association ethical guidelines, with local IRB approval secured from Hacettepe University's Ethics Committee. Statistical analysis will employ SPSS for regression modeling of variables like specialist density vs. wait times, while thematic analysis (using NVivo) will code qualitative insights on systemic barriers.</w:t>
      </w:r>
    </w:p>
    <w:bookmarkEnd w:id="24"/>
    <w:bookmarkStart w:id="25" w:name="expected-contributions-to-knowledge"/>
    <w:p>
      <w:pPr>
        <w:pStyle w:val="Heading2"/>
      </w:pPr>
      <w:r>
        <w:t xml:space="preserve">6. Expected Contributions to Knowledge</w:t>
      </w:r>
    </w:p>
    <w:p>
      <w:pPr>
        <w:pStyle w:val="FirstParagraph"/>
      </w:pPr>
      <w:r>
        <w:t xml:space="preserve">This</w:t>
      </w:r>
      <w:r>
        <w:t xml:space="preserve"> </w:t>
      </w:r>
      <w:r>
        <w:rPr>
          <w:bCs/>
          <w:b/>
        </w:rPr>
        <w:t xml:space="preserve">Thesis Proposal</w:t>
      </w:r>
      <w:r>
        <w:t xml:space="preserve"> </w:t>
      </w:r>
      <w:r>
        <w:t xml:space="preserve">promises threefold scholarly and practical impact for Turkey Ankara:</w:t>
      </w:r>
    </w:p>
    <w:p>
      <w:pPr>
        <w:numPr>
          <w:ilvl w:val="0"/>
          <w:numId w:val="1003"/>
        </w:numPr>
        <w:pStyle w:val="Compact"/>
      </w:pPr>
      <w:r>
        <w:rPr>
          <w:bCs/>
          <w:b/>
        </w:rPr>
        <w:t xml:space="preserve">Evidence-Based Policy Framework:</w:t>
      </w:r>
      <w:r>
        <w:t xml:space="preserve"> </w:t>
      </w:r>
      <w:r>
        <w:t xml:space="preserve">A data-driven model for optimizing ophthalmologist deployment in urban Turkish centers, directly addressing the Ministry of Health's 2023-2025 target of reducing eye care wait times by 40%.</w:t>
      </w:r>
    </w:p>
    <w:p>
      <w:pPr>
        <w:numPr>
          <w:ilvl w:val="0"/>
          <w:numId w:val="1003"/>
        </w:numPr>
        <w:pStyle w:val="Compact"/>
      </w:pPr>
      <w:r>
        <w:rPr>
          <w:bCs/>
          <w:b/>
        </w:rPr>
        <w:t xml:space="preserve">Clinical Workflow Innovation:</w:t>
      </w:r>
      <w:r>
        <w:t xml:space="preserve"> </w:t>
      </w:r>
      <w:r>
        <w:t xml:space="preserve">First-ever validation of tele-ophthalmology integration protocols for Ankara-specific use cases (e.g., rural referral networks from Ankara to neighboring provinces), with templates adaptable across Turkey.</w:t>
      </w:r>
    </w:p>
    <w:p>
      <w:pPr>
        <w:numPr>
          <w:ilvl w:val="0"/>
          <w:numId w:val="1003"/>
        </w:numPr>
        <w:pStyle w:val="Compact"/>
      </w:pPr>
      <w:r>
        <w:rPr>
          <w:bCs/>
          <w:b/>
        </w:rPr>
        <w:t xml:space="preserve">Educational Resource:</w:t>
      </w:r>
      <w:r>
        <w:t xml:space="preserve"> </w:t>
      </w:r>
      <w:r>
        <w:t xml:space="preserve">A standardized training module for ophthalmologist residents on managing high-volume urban practices, co-developed with Ankara's Ophthalmology Association and to be integrated into Gazi University's residency curriculum.</w:t>
      </w:r>
    </w:p>
    <w:p>
      <w:pPr>
        <w:pStyle w:val="FirstParagraph"/>
      </w:pPr>
      <w:r>
        <w:t xml:space="preserve">The findings will be disseminated via Turkish Medical Journal publications, workshops at the Turkish Ophthalmological Society Congress (to be held in Ankara 2024), and policy briefs for the Directorate of Health Services Planning under Turkey's Ministry of Health.</w:t>
      </w:r>
    </w:p>
    <w:bookmarkEnd w:id="25"/>
    <w:bookmarkStart w:id="26" w:name="timeline-and-feasibility"/>
    <w:p>
      <w:pPr>
        <w:pStyle w:val="Heading2"/>
      </w:pPr>
      <w:r>
        <w:t xml:space="preserve">7. Timeline and Feasibility</w:t>
      </w:r>
    </w:p>
    <w:p>
      <w:pPr>
        <w:pStyle w:val="FirstParagraph"/>
      </w:pPr>
      <w:r>
        <w:t xml:space="preserve">Conducted within a 15-month academic framework, this research leverages established partnerships in Ankara:</w:t>
      </w:r>
      <w:r>
        <w:t xml:space="preserve"> </w:t>
      </w:r>
      <w:r>
        <w:t xml:space="preserve">• Months 1-3: IRB approval + data access negotiations with Ankara Metropolitan Municipality Health Department</w:t>
      </w:r>
      <w:r>
        <w:t xml:space="preserve"> </w:t>
      </w:r>
      <w:r>
        <w:t xml:space="preserve">• Months 4-8: Quantitative data analysis and interview protocol development</w:t>
      </w:r>
      <w:r>
        <w:t xml:space="preserve"> </w:t>
      </w:r>
      <w:r>
        <w:t xml:space="preserve">• Months 9-12: Fieldwork execution (surveys/interviews across Ankara districts)</w:t>
      </w:r>
      <w:r>
        <w:t xml:space="preserve"> </w:t>
      </w:r>
      <w:r>
        <w:t xml:space="preserve">• Months 13-15: Toolkit pilot implementation and thesis writing</w:t>
      </w:r>
    </w:p>
    <w:p>
      <w:pPr>
        <w:pStyle w:val="BodyText"/>
      </w:pPr>
      <w:r>
        <w:t xml:space="preserve">Feasibility is ensured through access to Ankara's healthcare infrastructure, institutional support from Hacettepe University Faculty of Medicine, and collaboration with the Turkish Ophthalmology Society. Preliminary data from Ankara's SSK databases confirms sufficient sample size availability.</w:t>
      </w:r>
    </w:p>
    <w:bookmarkEnd w:id="26"/>
    <w:bookmarkStart w:id="27" w:name="conclusion"/>
    <w:p>
      <w:pPr>
        <w:pStyle w:val="Heading2"/>
      </w:pPr>
      <w:r>
        <w:t xml:space="preserve">8. Conclusion</w:t>
      </w:r>
    </w:p>
    <w:p>
      <w:pPr>
        <w:pStyle w:val="FirstParagraph"/>
      </w:pPr>
      <w:r>
        <w:t xml:space="preserve">The escalating burden of preventable blindness in Turkey demands urgent, location-specific solutions. This</w:t>
      </w:r>
      <w:r>
        <w:t xml:space="preserve"> </w:t>
      </w:r>
      <w:r>
        <w:rPr>
          <w:bCs/>
          <w:b/>
        </w:rPr>
        <w:t xml:space="preserve">Thesis Proposal</w:t>
      </w:r>
      <w:r>
        <w:t xml:space="preserve"> </w:t>
      </w:r>
      <w:r>
        <w:t xml:space="preserve">positions itself at the intersection of academic rigor and real-world healthcare needs, centering the experiences of Ankara's frontline ophthalmologists as catalysts for systemic change. By anchoring research within Turkey Ankara—a city emblematic of both urban health challenges and national medical innovation—this study transcends regional analysis to deliver scalable insights for Turkey's entire ophthalmic ecosystem. The proposed framework will not only elevate care quality for 2.5 million Ankara residents but also establish a replicable model for optimizing specialist services across developing nations' urban centers, ultimately advancing the global mission of "Vision 2030" in eye health.</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Turkey Ankara</dc:title>
  <dc:creator/>
  <dc:language>en</dc:language>
  <cp:keywords/>
  <dcterms:created xsi:type="dcterms:W3CDTF">2026-07-19T08:35:54Z</dcterms:created>
  <dcterms:modified xsi:type="dcterms:W3CDTF">2026-07-19T08:35:54Z</dcterms:modified>
</cp:coreProperties>
</file>

<file path=docProps/custom.xml><?xml version="1.0" encoding="utf-8"?>
<Properties xmlns="http://schemas.openxmlformats.org/officeDocument/2006/custom-properties" xmlns:vt="http://schemas.openxmlformats.org/officeDocument/2006/docPropsVTypes"/>
</file>