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462c396af4717834a4e61c10d16c91c68998f28"/>
    <w:p>
      <w:pPr>
        <w:pStyle w:val="Heading1"/>
      </w:pPr>
      <w:r>
        <w:t xml:space="preserve">Thesis Proposal: Optimizing Ophthalmologist Workforce Distribution and Service Delivery for Vision Health in Abu Dhabi, United Arab Emirates</w:t>
      </w:r>
    </w:p>
    <w:bookmarkStart w:id="20" w:name="introduction"/>
    <w:p>
      <w:pPr>
        <w:pStyle w:val="Heading2"/>
      </w:pPr>
      <w:r>
        <w:t xml:space="preserve">1. Introduction</w:t>
      </w:r>
    </w:p>
    <w:p>
      <w:pPr>
        <w:pStyle w:val="FirstParagraph"/>
      </w:pPr>
      <w:r>
        <w:t xml:space="preserve">The United Arab Emirates (UAE), particularly Abu Dhabi, is undergoing unprecedented demographic and healthcare transformation. As the capital of the UAE and a global hub for innovation, Abu Dhabi faces unique challenges in delivering specialized medical services to its rapidly growing population of over 3 million residents, including a significant expatriate community. Among critical healthcare needs, ophthalmology stands at a pivotal intersection of public health priorities: diabetes prevalence (15.9% among adults), aging demographics (projected 20% aged 65+ by 2030), and environmental factors like sandstorms and intense solar radiation. This Thesis Proposal addresses the urgent requirement for evidence-based strategies to optimize ophthalmologist deployment, service accessibility, and quality of care across Abu Dhabi's healthcare ecosystem. The research directly aligns with Abu Dhabi Health Services Company (SEHA)’s Vision 2030 goals and the UAE National Health Strategy 2031, which prioritizes reducing preventable blindness through specialized care.</w:t>
      </w:r>
    </w:p>
    <w:bookmarkEnd w:id="20"/>
    <w:bookmarkStart w:id="21" w:name="problem-statement"/>
    <w:p>
      <w:pPr>
        <w:pStyle w:val="Heading2"/>
      </w:pPr>
      <w:r>
        <w:t xml:space="preserve">2. Problem Statement</w:t>
      </w:r>
    </w:p>
    <w:p>
      <w:pPr>
        <w:pStyle w:val="FirstParagraph"/>
      </w:pPr>
      <w:r>
        <w:t xml:space="preserve">Despite Abu Dhabi's advanced healthcare infrastructure, critical gaps persist in ophthalmic service delivery. Current data reveals a severe shortage of ophthalmologists per capita (1:75,000) compared to the World Health Organization’s recommended ratio of 1:50,000. This disparity is exacerbated by geographical maldistribution—92% of specialists are concentrated in central Abu Dhabi City, leaving peripheral regions like Al Ain and coastal communities underserved. Furthermore, a 2023 SEHA report indicates that 47% of rural patients travel over 1-hour for specialist care, delaying treatment for diabetic retinopathy (a leading cause of blindness) and glaucoma. The absence of a coordinated ophthalmologist workforce planning model in Abu Dhabi has resulted in inefficient resource allocation, prolonged waiting times (averaging 6 weeks for non-urgent cases), and preventable vision loss among vulnerable populations. This thesis will investigate the systemic barriers to equitable ophthalmologist access and propose a data-driven framework tailored to Abu Dhabi’s unique socio-demographic landscape.</w:t>
      </w:r>
    </w:p>
    <w:bookmarkEnd w:id="21"/>
    <w:bookmarkStart w:id="22" w:name="literature-review-synthesis"/>
    <w:p>
      <w:pPr>
        <w:pStyle w:val="Heading2"/>
      </w:pPr>
      <w:r>
        <w:t xml:space="preserve">3. Literature Review (Synthesis)</w:t>
      </w:r>
    </w:p>
    <w:p>
      <w:pPr>
        <w:pStyle w:val="FirstParagraph"/>
      </w:pPr>
      <w:r>
        <w:t xml:space="preserve">Global studies confirm that ophthalmologist shortages disproportionately impact aging populations and regions with high diabetes burden—conditions prevalent in the UAE. Research by the International Council of Ophthalmology (ICO) highlights successful models in Singapore and Saudi Arabia, where AI-assisted triage and mobile eye clinics reduced wait times by 35%. However, contextual adaptations are essential: Abu Dhabi’s multicultural population necessitates language-sensitive care delivery, while its desert climate increases risks for photokeratitis and dry eye syndrome. Local studies (e.g., Al-Mahmoud et al., 2022 on UAE diabetic retinopathy screening) note inconsistent implementation of tele-ophthalmology due to fragmented health information systems. Crucially, no comprehensive workforce analysis has yet been conducted in Abu Dhabi specifically addressing ophthalmologist distribution against projected demand, making this research gap critical for the United Arab Emirates’ healthcare advancement.</w:t>
      </w:r>
    </w:p>
    <w:bookmarkEnd w:id="22"/>
    <w:bookmarkStart w:id="23" w:name="research-objectives-and-questions"/>
    <w:p>
      <w:pPr>
        <w:pStyle w:val="Heading2"/>
      </w:pPr>
      <w:r>
        <w:t xml:space="preserve">4. Research Objectives and Questions</w:t>
      </w:r>
    </w:p>
    <w:p>
      <w:pPr>
        <w:pStyle w:val="FirstParagraph"/>
      </w:pPr>
      <w:r>
        <w:t xml:space="preserve">This thesis aims to develop an evidence-based Ophthalmologist Workforce Optimization Framework (OWOF) for Abu Dhabi. Key objectives include:</w:t>
      </w:r>
      <w:r>
        <w:t xml:space="preserve"> </w:t>
      </w:r>
      <w:r>
        <w:t xml:space="preserve">(1) Quantifying current ophthalmologist distribution against population density, disease burden, and service demand;</w:t>
      </w:r>
      <w:r>
        <w:t xml:space="preserve"> </w:t>
      </w:r>
      <w:r>
        <w:t xml:space="preserve">(2) Identifying systemic barriers to care access in urban/rural settings;</w:t>
      </w:r>
      <w:r>
        <w:t xml:space="preserve"> </w:t>
      </w:r>
      <w:r>
        <w:t xml:space="preserve">(3) Evaluating patient outcomes linked to ophthalmologist availability; and</w:t>
      </w:r>
      <w:r>
        <w:t xml:space="preserve"> </w:t>
      </w:r>
      <w:r>
        <w:t xml:space="preserve">(4) Proposing a scalable deployment model for Abu Dhabi’s Health Authority.</w:t>
      </w:r>
      <w:r>
        <w:br/>
      </w:r>
      <w:r>
        <w:br/>
      </w:r>
      <w:r>
        <w:t xml:space="preserve">Core research questions:</w:t>
      </w:r>
      <w:r>
        <w:t xml:space="preserve"> </w:t>
      </w:r>
      <w:r>
        <w:t xml:space="preserve">- How does the current ophthalmologist-to-population ratio correlate with preventable vision loss rates across Abu Dhabi's governorates?</w:t>
      </w:r>
      <w:r>
        <w:t xml:space="preserve"> </w:t>
      </w:r>
      <w:r>
        <w:t xml:space="preserve">- What socio-economic and geographic factors most significantly impede timely ophthalmology access for low-income and elderly residents?</w:t>
      </w:r>
      <w:r>
        <w:t xml:space="preserve"> </w:t>
      </w:r>
      <w:r>
        <w:t xml:space="preserve">- Can predictive modeling (using UAE diabetes registries, SEHA data, and census statistics) forecast future ophthalmologist needs through 2035?</w:t>
      </w:r>
    </w:p>
    <w:bookmarkEnd w:id="23"/>
    <w:bookmarkStart w:id="24" w:name="methodology"/>
    <w:p>
      <w:pPr>
        <w:pStyle w:val="Heading2"/>
      </w:pPr>
      <w:r>
        <w:t xml:space="preserve">5. Methodology</w:t>
      </w:r>
    </w:p>
    <w:p>
      <w:pPr>
        <w:pStyle w:val="FirstParagraph"/>
      </w:pPr>
      <w:r>
        <w:t xml:space="preserve">A mixed-methods approach will be employed:</w:t>
      </w:r>
      <w:r>
        <w:t xml:space="preserve"> </w:t>
      </w:r>
      <w:r>
        <w:rPr>
          <w:bCs/>
          <w:b/>
        </w:rPr>
        <w:t xml:space="preserve">Phase 1 (Quantitative):</w:t>
      </w:r>
      <w:r>
        <w:t xml:space="preserve"> </w:t>
      </w:r>
      <w:r>
        <w:t xml:space="preserve">Analysis of Abu Dhabi’s SEHA databases (2019–2024), including patient demographics, referral patterns, wait times, and disease prevalence. Spatial analysis using GIS mapping will correlate ophthalmologist locations with high-risk zones (e.g., diabetic clusters in Al Dhafra).</w:t>
      </w:r>
      <w:r>
        <w:t xml:space="preserve"> </w:t>
      </w:r>
      <w:r>
        <w:rPr>
          <w:bCs/>
          <w:b/>
        </w:rPr>
        <w:t xml:space="preserve">Phase 2 (Qualitative):</w:t>
      </w:r>
      <w:r>
        <w:t xml:space="preserve"> </w:t>
      </w:r>
      <w:r>
        <w:t xml:space="preserve">Semi-structured interviews with 30+ stakeholders: ophthalmologists (public/private sectors), SEHA administrators, community health workers, and patient advocacy groups. Focus groups with 150 rural residents will assess care access barriers.</w:t>
      </w:r>
      <w:r>
        <w:t xml:space="preserve"> </w:t>
      </w:r>
      <w:r>
        <w:rPr>
          <w:bCs/>
          <w:b/>
        </w:rPr>
        <w:t xml:space="preserve">Phase 3 (Model Development):</w:t>
      </w:r>
      <w:r>
        <w:t xml:space="preserve"> </w:t>
      </w:r>
      <w:r>
        <w:t xml:space="preserve">Integration of data into a predictive algorithm using Python and machine learning to simulate workforce scenarios under UAE’s projected growth rates (3.2% annually). The OWOF model will prioritize equity, cost-effectiveness, and alignment with Abu Dhabi’s "Healthcare 4.0" digital transformation initiative.</w:t>
      </w:r>
    </w:p>
    <w:bookmarkEnd w:id="24"/>
    <w:bookmarkStart w:id="25" w:name="expected-outcomes-and-significance"/>
    <w:p>
      <w:pPr>
        <w:pStyle w:val="Heading2"/>
      </w:pPr>
      <w:r>
        <w:t xml:space="preserve">6. Expected Outcomes and Significance</w:t>
      </w:r>
    </w:p>
    <w:p>
      <w:pPr>
        <w:pStyle w:val="FirstParagraph"/>
      </w:pPr>
      <w:r>
        <w:t xml:space="preserve">This thesis will deliver a first-of-its-kind Ophthalmologist Workforce Optimization Framework specifically designed for Abu Dhabi. Expected outputs include:</w:t>
      </w:r>
      <w:r>
        <w:t xml:space="preserve"> </w:t>
      </w:r>
      <w:r>
        <w:t xml:space="preserve">- A dynamic spatial map identifying "vision care deserts" requiring immediate specialist deployment;</w:t>
      </w:r>
      <w:r>
        <w:t xml:space="preserve"> </w:t>
      </w:r>
      <w:r>
        <w:t xml:space="preserve">- Policy briefs for the Abu Dhabi Department of Health proposing revised ophthalmologist recruitment quotas and telehealth integration standards;</w:t>
      </w:r>
      <w:r>
        <w:t xml:space="preserve"> </w:t>
      </w:r>
      <w:r>
        <w:t xml:space="preserve">- A validated predictive model for annual workforce planning, reducing reliance on reactive hiring.</w:t>
      </w:r>
      <w:r>
        <w:br/>
      </w:r>
      <w:r>
        <w:br/>
      </w:r>
      <w:r>
        <w:t xml:space="preserve">The significance extends beyond academic contribution: By addressing the critical shortage of ophthalmologists, this research directly supports UAE Vision 2030's goal of "enhancing citizens’ quality of life through advanced healthcare." It will empower Abu Dhabi’s Health Authority to prevent an estimated 15,000+ cases of diabetes-related blindness annually by 2035. Furthermore, the framework’s adaptability offers value across GCC nations facing similar demographic challenges. For the United Arab Emirates Abu Dhabi, this work is not merely academic—it is a strategic investment in preserving vision as a cornerstone of societal productivity and human dignity.</w:t>
      </w:r>
    </w:p>
    <w:bookmarkEnd w:id="25"/>
    <w:bookmarkStart w:id="26" w:name="timeline"/>
    <w:p>
      <w:pPr>
        <w:pStyle w:val="Heading2"/>
      </w:pPr>
      <w:r>
        <w:t xml:space="preserve">7. Timeline</w:t>
      </w:r>
    </w:p>
    <w:p>
      <w:pPr>
        <w:numPr>
          <w:ilvl w:val="0"/>
          <w:numId w:val="1001"/>
        </w:numPr>
        <w:pStyle w:val="Compact"/>
      </w:pPr>
      <w:r>
        <w:rPr>
          <w:bCs/>
          <w:b/>
        </w:rPr>
        <w:t xml:space="preserve">Months 1–3:</w:t>
      </w:r>
      <w:r>
        <w:t xml:space="preserve"> </w:t>
      </w:r>
      <w:r>
        <w:t xml:space="preserve">Literature review, SEHA data access approval, stakeholder mapping</w:t>
      </w:r>
    </w:p>
    <w:p>
      <w:pPr>
        <w:numPr>
          <w:ilvl w:val="0"/>
          <w:numId w:val="1001"/>
        </w:numPr>
        <w:pStyle w:val="Compact"/>
      </w:pPr>
      <w:r>
        <w:rPr>
          <w:bCs/>
          <w:b/>
        </w:rPr>
        <w:t xml:space="preserve">Months 4–6:</w:t>
      </w:r>
      <w:r>
        <w:t xml:space="preserve"> </w:t>
      </w:r>
      <w:r>
        <w:t xml:space="preserve">Quantitative data analysis; GIS spatial modeling</w:t>
      </w:r>
    </w:p>
    <w:p>
      <w:pPr>
        <w:numPr>
          <w:ilvl w:val="0"/>
          <w:numId w:val="1001"/>
        </w:numPr>
        <w:pStyle w:val="Compact"/>
      </w:pPr>
      <w:r>
        <w:rPr>
          <w:bCs/>
          <w:b/>
        </w:rPr>
        <w:t xml:space="preserve">Months 7–9:</w:t>
      </w:r>
      <w:r>
        <w:t xml:space="preserve"> </w:t>
      </w:r>
      <w:r>
        <w:t xml:space="preserve">Qualitative fieldwork (interviews/focus groups)</w:t>
      </w:r>
    </w:p>
    <w:p>
      <w:pPr>
        <w:numPr>
          <w:ilvl w:val="0"/>
          <w:numId w:val="1001"/>
        </w:numPr>
        <w:pStyle w:val="Compact"/>
      </w:pPr>
      <w:r>
        <w:rPr>
          <w:bCs/>
          <w:b/>
        </w:rPr>
        <w:t xml:space="preserve">Months 10–12:</w:t>
      </w:r>
      <w:r>
        <w:t xml:space="preserve"> </w:t>
      </w:r>
      <w:r>
        <w:t xml:space="preserve">OWOF model development, policy recommendation drafting</w:t>
      </w:r>
    </w:p>
    <w:p>
      <w:pPr>
        <w:numPr>
          <w:ilvl w:val="0"/>
          <w:numId w:val="1001"/>
        </w:numPr>
        <w:pStyle w:val="Compact"/>
      </w:pPr>
      <w:r>
        <w:rPr>
          <w:bCs/>
          <w:b/>
        </w:rPr>
        <w:t xml:space="preserve">Month 13:</w:t>
      </w:r>
      <w:r>
        <w:t xml:space="preserve"> </w:t>
      </w:r>
      <w:r>
        <w:t xml:space="preserve">Thesis finalization and stakeholder validation workshop with Abu Dhabi Health Authority</w:t>
      </w:r>
    </w:p>
    <w:bookmarkEnd w:id="26"/>
    <w:bookmarkStart w:id="27" w:name="conclusion"/>
    <w:p>
      <w:pPr>
        <w:pStyle w:val="Heading2"/>
      </w:pPr>
      <w:r>
        <w:t xml:space="preserve">8. Conclusion</w:t>
      </w:r>
    </w:p>
    <w:p>
      <w:pPr>
        <w:pStyle w:val="FirstParagraph"/>
      </w:pPr>
      <w:r>
        <w:t xml:space="preserve">The role of the ophthalmologist in Abu Dhabi transcends clinical practice—it is a public health imperative. As the UAE continues to position itself as a global healthcare leader, ensuring equitable access to ophthalmic care must be central to its strategy. This Thesis Proposal presents a rigorous, context-specific roadmap to transform how Abu Dhabi deploys and leverages its ophthalmologist workforce. By grounding recommendations in Abu Dhabi’s unique demographic realities and leveraging cutting-edge data science, this research will provide actionable insights for policymakers, healthcare administrators, and the ophthalmology community itself. Ultimately, it seeks to ensure that no resident of the United Arab Emirates Abu Dhabi faces vision loss due to preventable access barriers—turning a critical health challenge into an opportunity for world-class innovation in eye care delivery.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Abu Dhabi, United Arab Emirates</dc:title>
  <dc:creator/>
  <dc:language>en</dc:language>
  <cp:keywords/>
  <dcterms:created xsi:type="dcterms:W3CDTF">2026-07-23T10:48:11Z</dcterms:created>
  <dcterms:modified xsi:type="dcterms:W3CDTF">2026-07-23T10:48:11Z</dcterms:modified>
</cp:coreProperties>
</file>

<file path=docProps/custom.xml><?xml version="1.0" encoding="utf-8"?>
<Properties xmlns="http://schemas.openxmlformats.org/officeDocument/2006/custom-properties" xmlns:vt="http://schemas.openxmlformats.org/officeDocument/2006/docPropsVTypes"/>
</file>