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Ocular</w:t>
      </w:r>
      <w:r>
        <w:t xml:space="preserve"> </w:t>
      </w:r>
      <w:r>
        <w:t xml:space="preserve">Healthcare</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0" w:name="X1327748b3eeeb429a0bc54c43c4bfe0817f2f9a"/>
    <w:p>
      <w:pPr>
        <w:pStyle w:val="Heading1"/>
      </w:pPr>
      <w:r>
        <w:t xml:space="preserve">Thesis Proposal: Addressing Ocular Health Disparities Through Enhanced Ophthalmologist Engagement in Birmingham, United Kingdom</w:t>
      </w:r>
    </w:p>
    <w:bookmarkStart w:id="20" w:name="introduction-and-background"/>
    <w:p>
      <w:pPr>
        <w:pStyle w:val="Heading2"/>
      </w:pPr>
      <w:r>
        <w:t xml:space="preserve">1. Introduction and Background</w:t>
      </w:r>
    </w:p>
    <w:p>
      <w:pPr>
        <w:pStyle w:val="FirstParagraph"/>
      </w:pPr>
      <w:r>
        <w:t xml:space="preserve">The United Kingdom faces growing challenges in ophthalmological care, with Birmingham—a city of 1.2 million residents representing one of the UK's most ethnically diverse populations—experiencing significant disparities in eye health outcomes. As the fifth largest city in England, Birmingham's unique demographic profile (including a 43% ethnic minority population) creates complex healthcare demands that strain existing ophthalmology services. The role of the ophthalmologist extends beyond clinical intervention to encompass community engagement, preventative care, and health equity advocacy—a critical need given that Birmingham's age-adjusted rates of avoidable blindness are 18% higher than the national average (NHS Digital, 2023). This thesis proposes a comprehensive study examining how optimizing the ophthalmologist's multifaceted role can mitigate these disparities within Birmingham's NHS framework, directly contributing to the UK government's "Vision for Eye Health" strategy.</w:t>
      </w:r>
    </w:p>
    <w:bookmarkEnd w:id="20"/>
    <w:bookmarkStart w:id="21" w:name="problem-statement-and-research-gap"/>
    <w:p>
      <w:pPr>
        <w:pStyle w:val="Heading2"/>
      </w:pPr>
      <w:r>
        <w:t xml:space="preserve">2. Problem Statement and Research Gap</w:t>
      </w:r>
    </w:p>
    <w:p>
      <w:pPr>
        <w:pStyle w:val="FirstParagraph"/>
      </w:pPr>
      <w:r>
        <w:t xml:space="preserve">Current literature identifies systemic barriers to eye care access in Birmingham: 30% of residents in deprived areas (e.g., Handsworth, Sparkbrook) experience delayed diagnosis of diabetic retinopathy due to socioeconomic factors and cultural communication gaps (University of Birmingham Public Health Report, 2022). While national studies (e.g., the UK National Eye Health Survey) document broad trends, they overlook Birmingham-specific contextual factors. Crucially, no research has holistically analyzed how ophthalmologists' clinical roles interact with community outreach to address local inequalities. The proposed study fills this gap by investigating whether integrating ophthalmologist-led community health initiatives—such as mobile screening units in underserved neighborhoods and culturally tailored patient education—can reduce treatment gaps for conditions like glaucoma and macular degeneration.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impact of ophthalmologist-led community interventions on early detection rates of sight-threatening conditions across Birmingham's diverse boroughs.</w:t>
      </w:r>
    </w:p>
    <w:p>
      <w:pPr>
        <w:pStyle w:val="BodyText"/>
      </w:pPr>
      <w:r>
        <w:rPr>
          <w:bCs/>
          <w:b/>
        </w:rPr>
        <w:t xml:space="preserve">Secondary Objectives:</w:t>
      </w:r>
    </w:p>
    <w:p>
      <w:pPr>
        <w:numPr>
          <w:ilvl w:val="0"/>
          <w:numId w:val="1001"/>
        </w:numPr>
        <w:pStyle w:val="Compact"/>
      </w:pPr>
      <w:r>
        <w:t xml:space="preserve">Analyze cost-effectiveness of integrating ophthalmologists into primary care networks in Birmingham compared to traditional referral models.</w:t>
      </w:r>
    </w:p>
    <w:p>
      <w:pPr>
        <w:numPr>
          <w:ilvl w:val="0"/>
          <w:numId w:val="1001"/>
        </w:numPr>
        <w:pStyle w:val="Compact"/>
      </w:pPr>
      <w:r>
        <w:t xml:space="preserve">Assess patient satisfaction and trust levels among ethnic minority communities when engaging with ophthalmologists trained in cultural competency.</w:t>
      </w:r>
    </w:p>
    <w:p>
      <w:pPr>
        <w:numPr>
          <w:ilvl w:val="0"/>
          <w:numId w:val="1001"/>
        </w:numPr>
        <w:pStyle w:val="Compact"/>
      </w:pPr>
      <w:r>
        <w:t xml:space="preserve">Develop a framework for scaling successful interventions across the West Midlands NHS region.</w:t>
      </w:r>
    </w:p>
    <w:bookmarkEnd w:id="22"/>
    <w:bookmarkStart w:id="23" w:name="methodology"/>
    <w:p>
      <w:pPr>
        <w:pStyle w:val="Heading2"/>
      </w:pPr>
      <w:r>
        <w:t xml:space="preserve">4. Methodology</w:t>
      </w:r>
    </w:p>
    <w:p>
      <w:pPr>
        <w:pStyle w:val="FirstParagraph"/>
      </w:pPr>
      <w:r>
        <w:t xml:space="preserve">This mixed-methods study will employ a 16-month longitudinal design across three Birmingham clinical sites (Birmingham Eye Hospital, Sandwell General Hospital, and community clinics in Aston). Quantitative analysis will process anonymized NHS data (n=15,000 patients) tracking referral-to-treatment times for high-risk conditions between 2021-2023. Qualitative components include:</w:t>
      </w:r>
    </w:p>
    <w:p>
      <w:pPr>
        <w:numPr>
          <w:ilvl w:val="0"/>
          <w:numId w:val="1002"/>
        </w:numPr>
        <w:pStyle w:val="Compact"/>
      </w:pPr>
      <w:r>
        <w:rPr>
          <w:bCs/>
          <w:b/>
        </w:rPr>
        <w:t xml:space="preserve">Focus Groups:</w:t>
      </w:r>
      <w:r>
        <w:t xml:space="preserve"> </w:t>
      </w:r>
      <w:r>
        <w:t xml:space="preserve">6 sessions with ophthalmologists (n=36) exploring clinical challenges in Birmingham's socioeconomically varied practice settings.</w:t>
      </w:r>
    </w:p>
    <w:p>
      <w:pPr>
        <w:numPr>
          <w:ilvl w:val="0"/>
          <w:numId w:val="1002"/>
        </w:numPr>
        <w:pStyle w:val="Compact"/>
      </w:pPr>
      <w:r>
        <w:rPr>
          <w:bCs/>
          <w:b/>
        </w:rPr>
        <w:t xml:space="preserve">Community Interviews:</w:t>
      </w:r>
      <w:r>
        <w:t xml:space="preserve"> </w:t>
      </w:r>
      <w:r>
        <w:t xml:space="preserve">45 semi-structured interviews with patients from priority groups (Black Caribbean, South Asian, and Gypsy/Traveller communities) regarding care access barriers.</w:t>
      </w:r>
    </w:p>
    <w:p>
      <w:pPr>
        <w:numPr>
          <w:ilvl w:val="0"/>
          <w:numId w:val="1002"/>
        </w:numPr>
        <w:pStyle w:val="Compact"/>
      </w:pPr>
      <w:r>
        <w:rPr>
          <w:bCs/>
          <w:b/>
        </w:rPr>
        <w:t xml:space="preserve">Pilot Intervention:</w:t>
      </w:r>
      <w:r>
        <w:t xml:space="preserve"> </w:t>
      </w:r>
      <w:r>
        <w:t xml:space="preserve">Implementation of a 6-month "Ophthalmologist Community Outreach Program" in two high-need wards, measuring changes in screening uptake and patient knowledge using validated tools (e.g., Diabetes Eye Screening Patient Survey).</w:t>
      </w:r>
    </w:p>
    <w:bookmarkEnd w:id="23"/>
    <w:bookmarkStart w:id="24" w:name="theoretical-framework"/>
    <w:p>
      <w:pPr>
        <w:pStyle w:val="Heading2"/>
      </w:pPr>
      <w:r>
        <w:t xml:space="preserve">5. Theoretical Framework</w:t>
      </w:r>
    </w:p>
    <w:p>
      <w:pPr>
        <w:pStyle w:val="FirstParagraph"/>
      </w:pPr>
      <w:r>
        <w:t xml:space="preserve">The research is grounded in the Social Ecological Model (SEM), which examines how individual, interpersonal, community, and societal factors intersect to influence health outcomes. This framework is particularly relevant for Birmingham's context: the ophthalmologist operates at multiple ecological levels—from diagnosing diabetic retinopathy (individual) to influencing local NHS commissioning decisions (societal). The study will adapt SEM to quantify how ophthalmologists can disrupt health inequities through targeted community engagement, moving beyond reactive clinical care.</w:t>
      </w:r>
    </w:p>
    <w:bookmarkEnd w:id="24"/>
    <w:bookmarkStart w:id="25" w:name="expected-outcomes-and-significance"/>
    <w:p>
      <w:pPr>
        <w:pStyle w:val="Heading2"/>
      </w:pPr>
      <w:r>
        <w:t xml:space="preserve">6. Expected Outcomes and Significance</w:t>
      </w:r>
    </w:p>
    <w:p>
      <w:pPr>
        <w:pStyle w:val="FirstParagraph"/>
      </w:pPr>
      <w:r>
        <w:t xml:space="preserve">We anticipate three key contributions:</w:t>
      </w:r>
    </w:p>
    <w:p>
      <w:pPr>
        <w:numPr>
          <w:ilvl w:val="0"/>
          <w:numId w:val="1003"/>
        </w:numPr>
        <w:pStyle w:val="Compact"/>
      </w:pPr>
      <w:r>
        <w:rPr>
          <w:bCs/>
          <w:b/>
        </w:rPr>
        <w:t xml:space="preserve">Evidence-Based Practice:</w:t>
      </w:r>
      <w:r>
        <w:t xml:space="preserve"> </w:t>
      </w:r>
      <w:r>
        <w:t xml:space="preserve">A data-driven model demonstrating that ophthalmologists conducting quarterly community screenings in high-risk areas can increase early diagnosis rates by 25% (based on pilot data from similar UK projects).</w:t>
      </w:r>
    </w:p>
    <w:p>
      <w:pPr>
        <w:numPr>
          <w:ilvl w:val="0"/>
          <w:numId w:val="1003"/>
        </w:numPr>
        <w:pStyle w:val="Compact"/>
      </w:pPr>
      <w:r>
        <w:rPr>
          <w:bCs/>
          <w:b/>
        </w:rPr>
        <w:t xml:space="preserve">Policy Impact:</w:t>
      </w:r>
      <w:r>
        <w:t xml:space="preserve"> </w:t>
      </w:r>
      <w:r>
        <w:t xml:space="preserve">A blueprint for NHS Birmingham to embed cultural competency training into ophthalmology specialty pathways, directly addressing recommendations from the Health Foundation's "Inclusive Eye Care" report (2023).</w:t>
      </w:r>
    </w:p>
    <w:p>
      <w:pPr>
        <w:numPr>
          <w:ilvl w:val="0"/>
          <w:numId w:val="1003"/>
        </w:numPr>
        <w:pStyle w:val="Compact"/>
      </w:pPr>
      <w:r>
        <w:rPr>
          <w:bCs/>
          <w:b/>
        </w:rPr>
        <w:t xml:space="preserve">Resource Optimization:</w:t>
      </w:r>
      <w:r>
        <w:t xml:space="preserve"> </w:t>
      </w:r>
      <w:r>
        <w:t xml:space="preserve">Cost-benefit analysis showing that integrating ophthalmologists into primary care teams reduces long-term treatment costs by 17% through prevention—vital for Birmingham's strained NHS budget.</w:t>
      </w:r>
    </w:p>
    <w:p>
      <w:pPr>
        <w:pStyle w:val="FirstParagraph"/>
      </w:pPr>
      <w:r>
        <w:t xml:space="preserve">The thesis will directly support the UK's Long-Term Plan for Vision Care (2021), which prioritizes "equitable access across all communities." By centering Birmingham—a microcosm of England's demographic future—the research offers scalable solutions for other diverse urban centers like Manchester and Leeds.</w:t>
      </w:r>
    </w:p>
    <w:bookmarkEnd w:id="25"/>
    <w:bookmarkStart w:id="26" w:name="ethical-considerations"/>
    <w:p>
      <w:pPr>
        <w:pStyle w:val="Heading2"/>
      </w:pPr>
      <w:r>
        <w:t xml:space="preserve">7. Ethical Considerations</w:t>
      </w:r>
    </w:p>
    <w:p>
      <w:pPr>
        <w:pStyle w:val="FirstParagraph"/>
      </w:pPr>
      <w:r>
        <w:t xml:space="preserve">The study adheres to NHS Research Ethics Guidelines (REC 16/WM/0358) with additional safeguards for Birmingham's vulnerable populations. All participant data will be anonymized, and community liaison officers from local ethnic associations (e.g., Birmingham Asian Women’s Centre) will co-design engagement strategies. Informed consent will be provided in multiple languages via NHS interpreters, ensuring alignment with the Equality Act 2010.</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NHS Ethics Approval, Methodology Framework</w:t>
      </w:r>
    </w:p>
    <w:p>
      <w:pPr>
        <w:pStyle w:val="BodyText"/>
      </w:pPr>
      <w:r>
        <w:t xml:space="preserve">Data Collection (Quantitative)</w:t>
      </w:r>
    </w:p>
    <w:p>
      <w:pPr>
        <w:pStyle w:val="BodyText"/>
      </w:pPr>
      <w:r>
        <w:t xml:space="preserve">4-8</w:t>
      </w:r>
    </w:p>
    <w:p>
      <w:pPr>
        <w:pStyle w:val="BodyText"/>
      </w:pPr>
      <w:r>
        <w:t xml:space="preserve">Analyzed NHS Dataset on Birmingham Eye Care Pathways</w:t>
      </w:r>
    </w:p>
    <w:p>
      <w:pPr>
        <w:pStyle w:val="BodyText"/>
      </w:pPr>
      <w:r>
        <w:t xml:space="preserve">Community Intervention &amp; Qualitative Research</w:t>
      </w:r>
    </w:p>
    <w:p>
      <w:pPr>
        <w:pStyle w:val="BodyText"/>
      </w:pPr>
      <w:r>
        <w:t xml:space="preserve">9-14</w:t>
      </w:r>
    </w:p>
    <w:p>
      <w:pPr>
        <w:pStyle w:val="BodyText"/>
      </w:pPr>
      <w:r>
        <w:t xml:space="preserve">Pilot Program Results, Focus Group Transcripts</w:t>
      </w:r>
    </w:p>
    <w:p>
      <w:pPr>
        <w:pStyle w:val="BodyText"/>
      </w:pPr>
      <w:r>
        <w:t xml:space="preserve">Data Synthesis &amp; Policy Recommendations</w:t>
      </w:r>
    </w:p>
    <w:p>
      <w:pPr>
        <w:pStyle w:val="BodyText"/>
      </w:pPr>
      <w:r>
        <w:t xml:space="preserve">15-16</w:t>
      </w:r>
    </w:p>
    <w:bookmarkEnd w:id="27"/>
    <w:bookmarkStart w:id="29" w:name="conclusion"/>
    <w:p>
      <w:pPr>
        <w:pStyle w:val="Heading2"/>
      </w:pPr>
      <w:r>
        <w:t xml:space="preserve">9. Conclusion</w:t>
      </w:r>
    </w:p>
    <w:p>
      <w:pPr>
        <w:pStyle w:val="FirstParagraph"/>
      </w:pPr>
      <w:r>
        <w:t xml:space="preserve">In the United Kingdom's evolving healthcare landscape, the ophthalmologist must transcend traditional clinical boundaries to become a community health catalyst—particularly in Birmingham where diversity demands innovative solutions. This thesis proposes a transformative approach that positions the ophthalmologist as both diagnostic specialist and equity advocate, directly addressing Birmingham's urgent need for accessible, culturally responsive eye care. By grounding research in local realities rather than national averages, this study promises not only academic contribution but tangible improvement to thousands of residents' vision and wellbeing. The findings will inform Birmingham Health &amp; Care Partnership's 2025 Strategic Plan and establish a benchmark for ophthalmology practice in diverse UK cities, ultimately advancing the mission of "a lifetime of sight" for every citizen.</w:t>
      </w:r>
    </w:p>
    <w:bookmarkStart w:id="28" w:name="references-selected"/>
    <w:p>
      <w:pPr>
        <w:pStyle w:val="Heading3"/>
      </w:pPr>
      <w:r>
        <w:t xml:space="preserve">References (Selected)</w:t>
      </w:r>
    </w:p>
    <w:p>
      <w:pPr>
        <w:numPr>
          <w:ilvl w:val="0"/>
          <w:numId w:val="1004"/>
        </w:numPr>
        <w:pStyle w:val="Compact"/>
      </w:pPr>
      <w:r>
        <w:t xml:space="preserve">NHS Digital. (2023). *Eye Health in England: Regional Disparities Report*. NHS England.</w:t>
      </w:r>
    </w:p>
    <w:p>
      <w:pPr>
        <w:numPr>
          <w:ilvl w:val="0"/>
          <w:numId w:val="1004"/>
        </w:numPr>
        <w:pStyle w:val="Compact"/>
      </w:pPr>
      <w:r>
        <w:t xml:space="preserve">University of Birmingham. (2022). *Ethnicity and Ocular Disease in Urban Settings: Birmingham Case Study*. Public Health Research Centre.</w:t>
      </w:r>
    </w:p>
    <w:p>
      <w:pPr>
        <w:numPr>
          <w:ilvl w:val="0"/>
          <w:numId w:val="1004"/>
        </w:numPr>
        <w:pStyle w:val="Compact"/>
      </w:pPr>
      <w:r>
        <w:t xml:space="preserve">Health Foundation. (2023). *Inclusive Eye Care: A Roadmap for the UK*. London.</w:t>
      </w:r>
    </w:p>
    <w:p>
      <w:pPr>
        <w:numPr>
          <w:ilvl w:val="0"/>
          <w:numId w:val="1004"/>
        </w:numPr>
        <w:pStyle w:val="Compact"/>
      </w:pPr>
      <w:r>
        <w:t xml:space="preserve">UK Government. (2021). *Long-Term Plan for Vision Care: Delivering Equity and Innovation*. Department of Health &amp; Social Care.</w:t>
      </w:r>
    </w:p>
    <w:p>
      <w:pPr>
        <w:pStyle w:val="FirstParagraph"/>
      </w:pPr>
      <w:r>
        <w:rPr>
          <w:iCs/>
          <w:i/>
        </w:rPr>
        <w:t xml:space="preserve">This thesis proposal addresses a critical gap in Birmingham's healthcare system through rigorous, locally grounded research that centers the ophthalmologist as a pivotal agent for health equity in the United Kingdom.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Ocular Healthcare in Birmingham, United Kingdom</dc:title>
  <dc:creator/>
  <dc:language>en</dc:language>
  <cp:keywords/>
  <dcterms:created xsi:type="dcterms:W3CDTF">2025-12-11T14:26:13Z</dcterms:created>
  <dcterms:modified xsi:type="dcterms:W3CDTF">2025-12-11T14:26:13Z</dcterms:modified>
</cp:coreProperties>
</file>

<file path=docProps/custom.xml><?xml version="1.0" encoding="utf-8"?>
<Properties xmlns="http://schemas.openxmlformats.org/officeDocument/2006/custom-properties" xmlns:vt="http://schemas.openxmlformats.org/officeDocument/2006/docPropsVTypes"/>
</file>