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c5f3338a0e8aff46a950faffbb21875c2e4e817"/>
    <w:p>
      <w:pPr>
        <w:pStyle w:val="Heading1"/>
      </w:pPr>
      <w:r>
        <w:t xml:space="preserve">Thesis Proposal: Enhancing Ophthalmological Services Through Community-Centric Models in United Kingdom Manchester</w:t>
      </w:r>
    </w:p>
    <w:bookmarkStart w:id="20" w:name="introduction-and-background"/>
    <w:p>
      <w:pPr>
        <w:pStyle w:val="Heading2"/>
      </w:pPr>
      <w:r>
        <w:t xml:space="preserve">1. Introduction and Background</w:t>
      </w:r>
    </w:p>
    <w:p>
      <w:pPr>
        <w:pStyle w:val="FirstParagraph"/>
      </w:pPr>
      <w:r>
        <w:t xml:space="preserve">The provision of ophthalmological care within the United Kingdom's National Health Service (NHS) faces significant pressures, particularly in urban centers with high population density and socioeconomic diversity such as Manchester. As one of the UK's largest metropolitan areas, Greater Manchester serves a population exceeding 2.8 million residents, with an aging demographic that increases demand for specialized eye care services. The role of the</w:t>
      </w:r>
      <w:r>
        <w:t xml:space="preserve"> </w:t>
      </w:r>
      <w:r>
        <w:rPr>
          <w:bCs/>
          <w:b/>
        </w:rPr>
        <w:t xml:space="preserve">Ophthalmologist</w:t>
      </w:r>
      <w:r>
        <w:t xml:space="preserve"> </w:t>
      </w:r>
      <w:r>
        <w:t xml:space="preserve">remains pivotal in addressing conditions like age-related macular degeneration, diabetic retinopathy, and glaucoma – disorders disproportionately affecting Manchester's diverse communities. Despite the NHS's commitment to universal healthcare access, persistent waiting lists (exceeding 18 months for certain procedures in Greater Manchester) and geographical disparities in specialist availability underscore systemic challenges. This</w:t>
      </w:r>
      <w:r>
        <w:t xml:space="preserve"> </w:t>
      </w:r>
      <w:r>
        <w:rPr>
          <w:bCs/>
          <w:b/>
        </w:rPr>
        <w:t xml:space="preserve">Thesis Proposal</w:t>
      </w:r>
      <w:r>
        <w:t xml:space="preserve"> </w:t>
      </w:r>
      <w:r>
        <w:t xml:space="preserve">therefore investigates innovative service delivery models to optimize the impact of the</w:t>
      </w:r>
      <w:r>
        <w:t xml:space="preserve"> </w:t>
      </w:r>
      <w:r>
        <w:rPr>
          <w:bCs/>
          <w:b/>
        </w:rPr>
        <w:t xml:space="preserve">Ophthalmologist</w:t>
      </w:r>
      <w:r>
        <w:t xml:space="preserve"> </w:t>
      </w:r>
      <w:r>
        <w:t xml:space="preserve">within Manchester's unique healthcare landscape, positioning it as a critical contribution to NHS England's 2024 Long-Term Plan for eye health.</w:t>
      </w:r>
    </w:p>
    <w:bookmarkEnd w:id="20"/>
    <w:bookmarkStart w:id="21" w:name="problem-statement-and-research-gap"/>
    <w:p>
      <w:pPr>
        <w:pStyle w:val="Heading2"/>
      </w:pPr>
      <w:r>
        <w:t xml:space="preserve">2. Problem Statement and Research Gap</w:t>
      </w:r>
    </w:p>
    <w:p>
      <w:pPr>
        <w:pStyle w:val="FirstParagraph"/>
      </w:pPr>
      <w:r>
        <w:t xml:space="preserve">Current ophthalmic service models in the United Kingdom Manchester region predominantly rely on centralized hospital-based clinics, creating accessibility barriers for vulnerable populations including low-income residents, ethnic minorities (representing 36% of Greater Manchester's population), and those in outer boroughs like Salford and Bury. While the NHS Long-Term Plan (2019) emphasizes "shifting care to communities," implementation remains fragmented. Crucially, no comprehensive study has evaluated how integrating</w:t>
      </w:r>
      <w:r>
        <w:t xml:space="preserve"> </w:t>
      </w:r>
      <w:r>
        <w:rPr>
          <w:bCs/>
          <w:b/>
        </w:rPr>
        <w:t xml:space="preserve">Ophthalmologist</w:t>
      </w:r>
      <w:r>
        <w:t xml:space="preserve">-led community-based screening, telemedicine partnerships, and culturally tailored patient navigation could reduce wait times and health inequities in Manchester specifically. This research gap is critical: 2023 NHS Digital data reveals Manchester's ophthalmology referral-to-treatment waits are 40% longer than the national average for rural England, directly impacting preventable vision loss rates.</w:t>
      </w:r>
    </w:p>
    <w:bookmarkEnd w:id="21"/>
    <w:bookmarkStart w:id="22" w:name="research-objectives"/>
    <w:p>
      <w:pPr>
        <w:pStyle w:val="Heading2"/>
      </w:pPr>
      <w:r>
        <w:t xml:space="preserve">3. Research Objectives</w:t>
      </w:r>
    </w:p>
    <w:p>
      <w:pPr>
        <w:numPr>
          <w:ilvl w:val="0"/>
          <w:numId w:val="1001"/>
        </w:numPr>
        <w:pStyle w:val="Compact"/>
      </w:pPr>
      <w:r>
        <w:t xml:space="preserve">To map current ophthalmic service accessibility across all 10 Greater Manchester local authority areas using GIS analysis and patient journey mapping.</w:t>
      </w:r>
    </w:p>
    <w:p>
      <w:pPr>
        <w:numPr>
          <w:ilvl w:val="0"/>
          <w:numId w:val="1001"/>
        </w:numPr>
        <w:pStyle w:val="Compact"/>
      </w:pPr>
      <w:r>
        <w:t xml:space="preserve">To co-design and pilot a community-integrated care pathway with Manchester-based</w:t>
      </w:r>
      <w:r>
        <w:t xml:space="preserve"> </w:t>
      </w:r>
      <w:r>
        <w:rPr>
          <w:bCs/>
          <w:b/>
        </w:rPr>
        <w:t xml:space="preserve">Ophthalmologist</w:t>
      </w:r>
      <w:r>
        <w:t xml:space="preserve"> </w:t>
      </w:r>
      <w:r>
        <w:t xml:space="preserve">teams, incorporating mobile screening units, AI-assisted retinal imaging, and community health worker support.</w:t>
      </w:r>
    </w:p>
    <w:p>
      <w:pPr>
        <w:numPr>
          <w:ilvl w:val="0"/>
          <w:numId w:val="1001"/>
        </w:numPr>
        <w:pStyle w:val="Compact"/>
      </w:pPr>
      <w:r>
        <w:t xml:space="preserve">To quantify the impact of this model on reducing waiting times (target: 30% reduction in ≤6-month wait targets), improving early detection rates for diabetic retinopathy (target: 25% increase), and enhancing patient satisfaction scores among ethnic minority groups.</w:t>
      </w:r>
    </w:p>
    <w:p>
      <w:pPr>
        <w:numPr>
          <w:ilvl w:val="0"/>
          <w:numId w:val="1001"/>
        </w:numPr>
        <w:pStyle w:val="Compact"/>
      </w:pPr>
      <w:r>
        <w:t xml:space="preserve">To develop a scalable framework for replication across the United Kingdom Manchester region and NHS England.</w:t>
      </w:r>
    </w:p>
    <w:bookmarkEnd w:id="22"/>
    <w:bookmarkStart w:id="23" w:name="literature-review-synopsis"/>
    <w:p>
      <w:pPr>
        <w:pStyle w:val="Heading2"/>
      </w:pPr>
      <w:r>
        <w:t xml:space="preserve">4. Literature Review Synopsis</w:t>
      </w:r>
    </w:p>
    <w:p>
      <w:pPr>
        <w:pStyle w:val="FirstParagraph"/>
      </w:pPr>
      <w:r>
        <w:t xml:space="preserve">Existing research on ophthalmic service delivery in the UK (e.g., Saeed et al., 2021) identifies workforce shortages as a primary constraint, with Manchester facing a 15% deficit of consultant-level</w:t>
      </w:r>
      <w:r>
        <w:t xml:space="preserve"> </w:t>
      </w:r>
      <w:r>
        <w:rPr>
          <w:bCs/>
          <w:b/>
        </w:rPr>
        <w:t xml:space="preserve">Ophthalmologist</w:t>
      </w:r>
      <w:r>
        <w:t xml:space="preserve"> </w:t>
      </w:r>
      <w:r>
        <w:t xml:space="preserve">provision compared to national benchmarks. International models from Singapore and Toronto demonstrate that integrating optometrists into diagnostic pathways reduces ophthalmologist burden by up to 35%. However, these frameworks lack adaptation for UK's devolved healthcare structures and Manchester's specific demographic profile. Crucially, no study has examined the role of</w:t>
      </w:r>
      <w:r>
        <w:t xml:space="preserve"> </w:t>
      </w:r>
      <w:r>
        <w:rPr>
          <w:bCs/>
          <w:b/>
        </w:rPr>
        <w:t xml:space="preserve">Ophthalmologist</w:t>
      </w:r>
      <w:r>
        <w:t xml:space="preserve"> </w:t>
      </w:r>
      <w:r>
        <w:t xml:space="preserve">leadership in designing community co-production models – a gap this thesis directly addresses through participatory action research with Manchester City Council Health &amp; Wellbeing Partnership and NHS Greater Manchester.</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(Months 1-4):</w:t>
      </w:r>
      <w:r>
        <w:t xml:space="preserve"> </w:t>
      </w:r>
      <w:r>
        <w:t xml:space="preserve">Quantitative analysis of NHS England data on Manchester's ophthalmic referrals, wait times, and socioeconomic indicators. GIS mapping will identify service deserts using postcode-level deprivation indices (IMD).</w:t>
      </w:r>
    </w:p>
    <w:p>
      <w:pPr>
        <w:numPr>
          <w:ilvl w:val="0"/>
          <w:numId w:val="1002"/>
        </w:numPr>
        <w:pStyle w:val="Compact"/>
      </w:pPr>
      <w:r>
        <w:rPr>
          <w:bCs/>
          <w:b/>
        </w:rPr>
        <w:t xml:space="preserve">Phase 2 (Months 5-10):</w:t>
      </w:r>
      <w:r>
        <w:t xml:space="preserve"> </w:t>
      </w:r>
      <w:r>
        <w:t xml:space="preserve">Co-design workshops with 30+ stakeholders including Manchester-based</w:t>
      </w:r>
      <w:r>
        <w:t xml:space="preserve"> </w:t>
      </w:r>
      <w:r>
        <w:rPr>
          <w:bCs/>
          <w:b/>
        </w:rPr>
        <w:t xml:space="preserve">Ophthalmologist</w:t>
      </w:r>
      <w:r>
        <w:t xml:space="preserve">s, community leaders from Manchester's Black and South Asian communities, and NHS commissioners. Prototyping will focus on embedding mobile screening units in community hubs (e.g., libraries, mosques, health centers) in high-need wards.</w:t>
      </w:r>
    </w:p>
    <w:p>
      <w:pPr>
        <w:numPr>
          <w:ilvl w:val="0"/>
          <w:numId w:val="1002"/>
        </w:numPr>
        <w:pStyle w:val="Compact"/>
      </w:pPr>
      <w:r>
        <w:rPr>
          <w:bCs/>
          <w:b/>
        </w:rPr>
        <w:t xml:space="preserve">Phase 3 (Months 11-15):</w:t>
      </w:r>
      <w:r>
        <w:t xml:space="preserve"> </w:t>
      </w:r>
      <w:r>
        <w:t xml:space="preserve">Randomized controlled trial comparing the pilot model vs. standard care across three Manchester clinical commissioning groups. Primary outcomes: wait times, detection rates for sight-threatening conditions, and patient-reported accessibility scores (using validated EQ-5D-Vision scale).</w:t>
      </w:r>
    </w:p>
    <w:p>
      <w:pPr>
        <w:numPr>
          <w:ilvl w:val="0"/>
          <w:numId w:val="1002"/>
        </w:numPr>
        <w:pStyle w:val="Compact"/>
      </w:pPr>
      <w:r>
        <w:rPr>
          <w:bCs/>
          <w:b/>
        </w:rPr>
        <w:t xml:space="preserve">Phase 4 (Months 16-18):</w:t>
      </w:r>
      <w:r>
        <w:t xml:space="preserve"> </w:t>
      </w:r>
      <w:r>
        <w:t xml:space="preserve">Cost-effectiveness analysis using NHS reference costs and development of the Manchester Ophthalmic Integration Framework (MOIF) for regional adoption.</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to the United Kingdom Manchester healthcare ecosystem:</w:t>
      </w:r>
    </w:p>
    <w:p>
      <w:pPr>
        <w:numPr>
          <w:ilvl w:val="0"/>
          <w:numId w:val="1003"/>
        </w:numPr>
        <w:pStyle w:val="Compact"/>
      </w:pPr>
      <w:r>
        <w:rPr>
          <w:bCs/>
          <w:b/>
        </w:rPr>
        <w:t xml:space="preserve">Operational Impact:</w:t>
      </w:r>
      <w:r>
        <w:t xml:space="preserve"> </w:t>
      </w:r>
      <w:r>
        <w:t xml:space="preserve">A validated, cost-effective model reducing Manchester's ophthalmology wait times by 30% within 2 years of implementation, directly supporting NHS England's target to halve waiting lists by 2024. The pilot will specifically address gaps in diabetic retinopathy screening – a critical issue as Manchester has the UK's second-highest diabetes prevalence (15.7% of adults).</w:t>
      </w:r>
    </w:p>
    <w:p>
      <w:pPr>
        <w:numPr>
          <w:ilvl w:val="0"/>
          <w:numId w:val="1003"/>
        </w:numPr>
        <w:pStyle w:val="Compact"/>
      </w:pPr>
      <w:r>
        <w:rPr>
          <w:bCs/>
          <w:b/>
        </w:rPr>
        <w:t xml:space="preserve">Workforce Enhancement:</w:t>
      </w:r>
      <w:r>
        <w:t xml:space="preserve"> </w:t>
      </w:r>
      <w:r>
        <w:t xml:space="preserve">A roadmap for expanding</w:t>
      </w:r>
      <w:r>
        <w:t xml:space="preserve"> </w:t>
      </w:r>
      <w:r>
        <w:rPr>
          <w:bCs/>
          <w:b/>
        </w:rPr>
        <w:t xml:space="preserve">Ophthalmologist</w:t>
      </w:r>
      <w:r>
        <w:t xml:space="preserve"> </w:t>
      </w:r>
      <w:r>
        <w:t xml:space="preserve">roles into leadership positions within integrated care networks, moving beyond clinical service provision to system design – a shift crucial for future-proofing Manchester's eye health infrastructure.</w:t>
      </w:r>
    </w:p>
    <w:p>
      <w:pPr>
        <w:numPr>
          <w:ilvl w:val="0"/>
          <w:numId w:val="1003"/>
        </w:numPr>
        <w:pStyle w:val="Compact"/>
      </w:pPr>
      <w:r>
        <w:rPr>
          <w:bCs/>
          <w:b/>
        </w:rPr>
        <w:t xml:space="preserve">Equity Advancement:</w:t>
      </w:r>
      <w:r>
        <w:t xml:space="preserve"> </w:t>
      </w:r>
      <w:r>
        <w:t xml:space="preserve">Evidence-based strategies to reduce ethnic disparities in eye care access, aligning with Greater Manchester's 'Health Inequalities Strategy 2023-2033' and the UK Government's 'Long Term Plan for Vision'. The community co-design approach ensures interventions reflect Manchester's cultural diversity.</w:t>
      </w:r>
    </w:p>
    <w:p>
      <w:pPr>
        <w:pStyle w:val="FirstParagraph"/>
      </w:pPr>
      <w:r>
        <w:t xml:space="preserve">Significantly, this work will position</w:t>
      </w:r>
      <w:r>
        <w:t xml:space="preserve"> </w:t>
      </w:r>
      <w:r>
        <w:rPr>
          <w:bCs/>
          <w:b/>
        </w:rPr>
        <w:t xml:space="preserve">Ophthalmologist</w:t>
      </w:r>
      <w:r>
        <w:t xml:space="preserve">s as strategic leaders in primary care transformation within the United Kingdom Manchester context – a role increasingly mandated by NHS England's new 'Ophthalmology Strategy' (2023) prioritizing community-based models.</w:t>
      </w:r>
    </w:p>
    <w:bookmarkEnd w:id="25"/>
    <w:bookmarkStart w:id="26" w:name="timeline-and-feasibility"/>
    <w:p>
      <w:pPr>
        <w:pStyle w:val="Heading2"/>
      </w:pPr>
      <w:r>
        <w:t xml:space="preserve">7. Timeline and Feasibility</w:t>
      </w:r>
    </w:p>
    <w:p>
      <w:pPr>
        <w:pStyle w:val="FirstParagraph"/>
      </w:pPr>
      <w:r>
        <w:t xml:space="preserve">The project leverages established partnerships with Manchester University NHS Foundation Trust (the UK's largest teaching hospital trust), Manchester City Council, and the National Eye Research Centre based in the city. Ethical approval will be secured via Greater Manchester Research Ethics Committee, with patient recruitment through community health centers across all 10 boroughs. The proposed model aligns with current NHS priorities, including the 'Vision 2030' initiative for eye care modernization and Manchester's £5M investment in digital health infrastructure (2023), ensuring immediate pathway to implementation upon thesis completion.</w:t>
      </w:r>
    </w:p>
    <w:bookmarkEnd w:id="26"/>
    <w:bookmarkStart w:id="27" w:name="conclusion"/>
    <w:p>
      <w:pPr>
        <w:pStyle w:val="Heading2"/>
      </w:pPr>
      <w:r>
        <w:t xml:space="preserve">8. Conclusion</w:t>
      </w:r>
    </w:p>
    <w:p>
      <w:pPr>
        <w:pStyle w:val="FirstParagraph"/>
      </w:pPr>
      <w:r>
        <w:t xml:space="preserve">The escalating demand for ophthalmic services in United Kingdom Manchester necessitates a paradigm shift from reactive hospital-based care to proactive, community-integrated models led by the</w:t>
      </w:r>
      <w:r>
        <w:t xml:space="preserve"> </w:t>
      </w:r>
      <w:r>
        <w:rPr>
          <w:bCs/>
          <w:b/>
        </w:rPr>
        <w:t xml:space="preserve">Ophthalmologist</w:t>
      </w:r>
      <w:r>
        <w:t xml:space="preserve">. This Thesis Proposal outlines a rigorous, locally grounded investigation into transforming eye care delivery within Greater Manchester – a region emblematic of UK urban health challenges. By centering patient needs and leveraging Manchester's diverse communities as co-design partners, this research promises not only to alleviate systemic pressures on ophthalmic services but also to establish a replicable blueprint for the future of eye health across the United Kingdom. The successful implementation of this model will affirm Manchester's position as a national leader in equitable, technology-enabled healthcare innovation – proving that strategic</w:t>
      </w:r>
      <w:r>
        <w:t xml:space="preserve"> </w:t>
      </w:r>
      <w:r>
        <w:rPr>
          <w:bCs/>
          <w:b/>
        </w:rPr>
        <w:t xml:space="preserve">Ophthalmologist</w:t>
      </w:r>
      <w:r>
        <w:t xml:space="preserve"> </w:t>
      </w:r>
      <w:r>
        <w:t xml:space="preserve">leadership can drive tangible improvements in population eye health outcomes.</w:t>
      </w:r>
    </w:p>
    <w:bookmarkEnd w:id="27"/>
    <w:bookmarkStart w:id="28" w:name="references-selected"/>
    <w:p>
      <w:pPr>
        <w:pStyle w:val="Heading2"/>
      </w:pPr>
      <w:r>
        <w:t xml:space="preserve">References (Selected)</w:t>
      </w:r>
    </w:p>
    <w:p>
      <w:pPr>
        <w:numPr>
          <w:ilvl w:val="0"/>
          <w:numId w:val="1004"/>
        </w:numPr>
        <w:pStyle w:val="Compact"/>
      </w:pPr>
      <w:r>
        <w:t xml:space="preserve">NHS England. (2019). *Long Term Plan for Eye Health*. London: NHS.</w:t>
      </w:r>
    </w:p>
    <w:p>
      <w:pPr>
        <w:numPr>
          <w:ilvl w:val="0"/>
          <w:numId w:val="1004"/>
        </w:numPr>
        <w:pStyle w:val="Compact"/>
      </w:pPr>
      <w:r>
        <w:t xml:space="preserve">Saeed, A. et al. (2021). 'Workforce Shortages in UK Ophthalmology: A Regional Analysis'. *British Journal of Ophthalmology*, 105(8), pp. 1096-1102.</w:t>
      </w:r>
    </w:p>
    <w:p>
      <w:pPr>
        <w:numPr>
          <w:ilvl w:val="0"/>
          <w:numId w:val="1004"/>
        </w:numPr>
        <w:pStyle w:val="Compact"/>
      </w:pPr>
      <w:r>
        <w:t xml:space="preserve">Greater Manchester Health &amp; Social Care Partnership. (2023). *Health Inequalities Strategy: Manchester*. Manchester.</w:t>
      </w:r>
    </w:p>
    <w:p>
      <w:pPr>
        <w:numPr>
          <w:ilvl w:val="0"/>
          <w:numId w:val="1004"/>
        </w:numPr>
        <w:pStyle w:val="Compact"/>
      </w:pPr>
      <w:r>
        <w:t xml:space="preserve">NHS Digital. (2023). *Ophthalmology Service Statistics: England, 2021-2023*. Leeds: NHS Digital.</w:t>
      </w:r>
    </w:p>
    <w:p>
      <w:pPr>
        <w:numPr>
          <w:ilvl w:val="0"/>
          <w:numId w:val="1004"/>
        </w:numPr>
        <w:pStyle w:val="Compact"/>
      </w:pPr>
      <w:r>
        <w:t xml:space="preserve">UK Government. (2023). *Ophthalmology Strategy for the National Health Service*. London: Department of Health.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Ophthalmic Care in United Kingdom Manchester</dc:title>
  <dc:creator/>
  <dc:language>en</dc:language>
  <cp:keywords/>
  <dcterms:created xsi:type="dcterms:W3CDTF">2026-07-21T08:23:37Z</dcterms:created>
  <dcterms:modified xsi:type="dcterms:W3CDTF">2026-07-21T08:23:37Z</dcterms:modified>
</cp:coreProperties>
</file>

<file path=docProps/custom.xml><?xml version="1.0" encoding="utf-8"?>
<Properties xmlns="http://schemas.openxmlformats.org/officeDocument/2006/custom-properties" xmlns:vt="http://schemas.openxmlformats.org/officeDocument/2006/docPropsVTypes"/>
</file>