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3c8a9ba6d046dabd409a4a620c574aedc89ecc"/>
    <w:p>
      <w:pPr>
        <w:pStyle w:val="Heading1"/>
      </w:pPr>
      <w:r>
        <w:t xml:space="preserve">Thesis Proposal: Addressing Ocular Health Disparities through Enhanced Ophthalmologist Services in United States Miami</w:t>
      </w:r>
    </w:p>
    <w:bookmarkStart w:id="20" w:name="introduction"/>
    <w:p>
      <w:pPr>
        <w:pStyle w:val="Heading2"/>
      </w:pPr>
      <w:r>
        <w:t xml:space="preserve">1. Introduction</w:t>
      </w:r>
    </w:p>
    <w:p>
      <w:pPr>
        <w:pStyle w:val="FirstParagraph"/>
      </w:pPr>
      <w:r>
        <w:t xml:space="preserve">The field of ophthalmology stands at a critical juncture within the healthcare landscape of the United States, particularly in metropolitan centers like Miami, Florida. As the population ages and environmental factors intensify, comprehensive eye care services become increasingly vital. This thesis proposal outlines a research initiative focused on optimizing ophthalmologist accessibility and efficacy within Miami—a city characterized by its unique demographic diversity (27% Hispanic/Latino, 15% African American, 12% White non-Hispanic) and environmental challenges including high UV exposure, tropical diseases, and climate-related health impacts. The</w:t>
      </w:r>
      <w:r>
        <w:t xml:space="preserve"> </w:t>
      </w:r>
      <w:r>
        <w:rPr>
          <w:bCs/>
          <w:b/>
        </w:rPr>
        <w:t xml:space="preserve">Thesis Proposal</w:t>
      </w:r>
      <w:r>
        <w:t xml:space="preserve"> </w:t>
      </w:r>
      <w:r>
        <w:t xml:space="preserve">addresses a pressing gap: Miami's ophthalmologist-to-population ratio lags behind national standards despite the city's rapidly growing senior demographic (projected 25% increase in adults over 65 by 2030) and elevated rates of diabetic retinopathy, glaucoma, and age-related macular degeneration. This study directly responds to the urgent need for a localized framework to strengthen</w:t>
      </w:r>
      <w:r>
        <w:t xml:space="preserve"> </w:t>
      </w:r>
      <w:r>
        <w:rPr>
          <w:bCs/>
          <w:b/>
        </w:rPr>
        <w:t xml:space="preserve">Ophthalmologist</w:t>
      </w:r>
      <w:r>
        <w:t xml:space="preserve"> </w:t>
      </w:r>
      <w:r>
        <w:t xml:space="preserve">service delivery in the</w:t>
      </w:r>
      <w:r>
        <w:t xml:space="preserve"> </w:t>
      </w:r>
      <w:r>
        <w:rPr>
          <w:bCs/>
          <w:b/>
        </w:rPr>
        <w:t xml:space="preserve">United States Miami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Miami faces a dual crisis in eye care: geographic maldistribution of specialists and systemic barriers for underserved communities. Current data from the Florida Department of Health reveals only 1 ophthalmologist per 6,800 residents in Miami-Dade County—compared to the national average of 1:4,200. This disparity is exacerbated by socioeconomic factors; uninsured patients represent 27% of Miami's population, and over half reside in "eye care deserts" (areas with no ophthalmologist within 15 miles). Compounding these issues are climate-driven health threats: rising sea levels increase vector-borne diseases like onchocerciasis (river blindness), while intensified UV radiation accelerates cataract formation. Critically, existing research fails to integrate Miami's unique convergence of climate vulnerability, cultural diversity, and healthcare infrastructure into a cohesive model for</w:t>
      </w:r>
      <w:r>
        <w:t xml:space="preserve"> </w:t>
      </w:r>
      <w:r>
        <w:rPr>
          <w:bCs/>
          <w:b/>
        </w:rPr>
        <w:t xml:space="preserve">Ophthalmologist</w:t>
      </w:r>
      <w:r>
        <w:t xml:space="preserve"> </w:t>
      </w:r>
      <w:r>
        <w:t xml:space="preserve">practice. This gap necessitates a targeted</w:t>
      </w:r>
      <w:r>
        <w:t xml:space="preserve"> </w:t>
      </w:r>
      <w:r>
        <w:rPr>
          <w:bCs/>
          <w:b/>
        </w:rPr>
        <w:t xml:space="preserve">Thesis Proposal</w:t>
      </w:r>
      <w:r>
        <w:t xml:space="preserve"> </w:t>
      </w:r>
      <w:r>
        <w:t xml:space="preserve">focused exclusively on the</w:t>
      </w:r>
      <w:r>
        <w:t xml:space="preserve"> </w:t>
      </w:r>
      <w:r>
        <w:rPr>
          <w:bCs/>
          <w:b/>
        </w:rPr>
        <w:t xml:space="preserve">United States Miami</w:t>
      </w:r>
      <w:r>
        <w:t xml:space="preserve"> </w:t>
      </w:r>
      <w:r>
        <w:t xml:space="preserve">ecosystem.</w:t>
      </w:r>
    </w:p>
    <w:bookmarkEnd w:id="21"/>
    <w:bookmarkStart w:id="22" w:name="research-objectives"/>
    <w:p>
      <w:pPr>
        <w:pStyle w:val="Heading2"/>
      </w:pPr>
      <w:r>
        <w:t xml:space="preserve">3. Research Objectives</w:t>
      </w:r>
    </w:p>
    <w:p>
      <w:pPr>
        <w:numPr>
          <w:ilvl w:val="0"/>
          <w:numId w:val="1001"/>
        </w:numPr>
        <w:pStyle w:val="Compact"/>
      </w:pPr>
      <w:r>
        <w:rPr>
          <w:iCs/>
          <w:i/>
        </w:rPr>
        <w:t xml:space="preserve">Evaluate current ophthalmologist service patterns in Miami-Dade County</w:t>
      </w:r>
      <w:r>
        <w:t xml:space="preserve">: Analyze patient volume, specialty distribution (e.g., glaucoma, retina), and geographic coverage using telemedicine adoption rates from the 2023 Florida Ophthalmological Society report.</w:t>
      </w:r>
    </w:p>
    <w:p>
      <w:pPr>
        <w:numPr>
          <w:ilvl w:val="0"/>
          <w:numId w:val="1001"/>
        </w:numPr>
        <w:pStyle w:val="Compact"/>
      </w:pPr>
      <w:r>
        <w:rPr>
          <w:iCs/>
          <w:i/>
        </w:rPr>
        <w:t xml:space="preserve">Identify barriers to access for vulnerable populations</w:t>
      </w:r>
      <w:r>
        <w:t xml:space="preserve">: Conduct multilingual surveys with 500+ patients across three Miami neighborhoods (Little Havana, Little Haiti, Coral Gables) assessing financial, linguistic, and cultural obstacles.</w:t>
      </w:r>
    </w:p>
    <w:p>
      <w:pPr>
        <w:numPr>
          <w:ilvl w:val="0"/>
          <w:numId w:val="1001"/>
        </w:numPr>
        <w:pStyle w:val="Compact"/>
      </w:pPr>
      <w:r>
        <w:rPr>
          <w:iCs/>
          <w:i/>
        </w:rPr>
        <w:t xml:space="preserve">Model climate-resilient ophthalmology frameworks</w:t>
      </w:r>
      <w:r>
        <w:t xml:space="preserve">: Develop predictive analytics using NOAA climate data to forecast UV exposure impacts on cataract incidence and align ophthalmologist resource allocation.</w:t>
      </w:r>
    </w:p>
    <w:p>
      <w:pPr>
        <w:numPr>
          <w:ilvl w:val="0"/>
          <w:numId w:val="1001"/>
        </w:numPr>
        <w:pStyle w:val="Compact"/>
      </w:pPr>
      <w:r>
        <w:rPr>
          <w:iCs/>
          <w:i/>
        </w:rPr>
        <w:t xml:space="preserve">Create a culturally competent care protocol</w:t>
      </w:r>
      <w:r>
        <w:t xml:space="preserve">: Co-design a patient navigation system with local community health centers (e.g., Jackson Memorial Hospital, Miami VA) incorporating Spanish, Haitian Creole, and English language support.</w:t>
      </w:r>
    </w:p>
    <w:bookmarkEnd w:id="22"/>
    <w:bookmarkStart w:id="23" w:name="Xf80c8d295ba0e03e8bb972f948a9018587d5ece"/>
    <w:p>
      <w:pPr>
        <w:pStyle w:val="Heading2"/>
      </w:pPr>
      <w:r>
        <w:t xml:space="preserve">4. Literature Review: Contextualizing the Miami Imperative</w:t>
      </w:r>
    </w:p>
    <w:p>
      <w:pPr>
        <w:pStyle w:val="FirstParagraph"/>
      </w:pPr>
      <w:r>
        <w:t xml:space="preserve">Existing scholarship on ophthalmology in the U.S. focuses predominantly on rural or Northeastern urban centers, neglecting Sun Belt metropolises like Miami. A 2021 JAMA Ophthalmology study noted "geographic inequities in specialist access" but did not account for Miami's hyper-diverse population (37 languages spoken) or its status as a primary destination for Caribbean migrants with high diabetes prevalence. Similarly, climate-ophthalmology research remains nascent; while the WHO links UV exposure to 15% of global cataracts, no study has quantified this risk in Miami's 90°F average summer temperatures. This</w:t>
      </w:r>
      <w:r>
        <w:t xml:space="preserve"> </w:t>
      </w:r>
      <w:r>
        <w:rPr>
          <w:bCs/>
          <w:b/>
        </w:rPr>
        <w:t xml:space="preserve">Thesis Proposal</w:t>
      </w:r>
      <w:r>
        <w:t xml:space="preserve"> </w:t>
      </w:r>
      <w:r>
        <w:t xml:space="preserve">bridges these gaps by positioning Miami as a case study for climate-adaptive eye care in diverse urban settings—a model critical for the</w:t>
      </w:r>
      <w:r>
        <w:t xml:space="preserve"> </w:t>
      </w:r>
      <w:r>
        <w:rPr>
          <w:bCs/>
          <w:b/>
        </w:rPr>
        <w:t xml:space="preserve">United States</w:t>
      </w:r>
      <w:r>
        <w:t xml:space="preserve">'s expanding coastal cities facing similar challenges.</w:t>
      </w:r>
    </w:p>
    <w:bookmarkEnd w:id="23"/>
    <w:bookmarkStart w:id="24" w:name="methodology-a-miami-centric-approach"/>
    <w:p>
      <w:pPr>
        <w:pStyle w:val="Heading2"/>
      </w:pPr>
      <w:r>
        <w:t xml:space="preserve">5. Methodology: A Miami-Centric Approach</w:t>
      </w:r>
    </w:p>
    <w:p>
      <w:pPr>
        <w:pStyle w:val="FirstParagraph"/>
      </w:pPr>
      <w:r>
        <w:t xml:space="preserve">This mixed-methods study employs three integrated phases over 18 months:</w:t>
      </w:r>
    </w:p>
    <w:p>
      <w:pPr>
        <w:numPr>
          <w:ilvl w:val="0"/>
          <w:numId w:val="1002"/>
        </w:numPr>
        <w:pStyle w:val="Compact"/>
      </w:pPr>
      <w:r>
        <w:rPr>
          <w:iCs/>
          <w:i/>
        </w:rPr>
        <w:t xml:space="preserve">Phase 1 (Months 1-4)</w:t>
      </w:r>
      <w:r>
        <w:t xml:space="preserve">: Quantitative analysis of Florida Medicaid claims data (2020-2023) to map ophthalmologist utilization patterns, cross-referenced with U.S. Census demographics and NOAA climate datasets.</w:t>
      </w:r>
    </w:p>
    <w:p>
      <w:pPr>
        <w:numPr>
          <w:ilvl w:val="0"/>
          <w:numId w:val="1002"/>
        </w:numPr>
        <w:pStyle w:val="Compact"/>
      </w:pPr>
      <w:r>
        <w:rPr>
          <w:iCs/>
          <w:i/>
        </w:rPr>
        <w:t xml:space="preserve">Phase 2 (Months 5-10)</w:t>
      </w:r>
      <w:r>
        <w:t xml:space="preserve">: Qualitative focus groups with Miami-based</w:t>
      </w:r>
      <w:r>
        <w:t xml:space="preserve"> </w:t>
      </w:r>
      <w:r>
        <w:rPr>
          <w:bCs/>
          <w:b/>
        </w:rPr>
        <w:t xml:space="preserve">Ophthalmologist</w:t>
      </w:r>
      <w:r>
        <w:t xml:space="preserve"> </w:t>
      </w:r>
      <w:r>
        <w:t xml:space="preserve">practitioners (n=30) and patient advocates from historically marginalized communities, using participatory action research frameworks.</w:t>
      </w:r>
    </w:p>
    <w:p>
      <w:pPr>
        <w:numPr>
          <w:ilvl w:val="0"/>
          <w:numId w:val="1002"/>
        </w:numPr>
        <w:pStyle w:val="Compact"/>
      </w:pPr>
      <w:r>
        <w:rPr>
          <w:iCs/>
          <w:i/>
        </w:rPr>
        <w:t xml:space="preserve">Phase 3 (Months 11-18)</w:t>
      </w:r>
      <w:r>
        <w:t xml:space="preserve">: Implementation of a pilot care navigation program at three Miami community health centers, measuring outcomes via reduced wait times (&lt;2 weeks), increased appointment adherence (target: +40%), and patient satisfaction scores.</w:t>
      </w:r>
    </w:p>
    <w:p>
      <w:pPr>
        <w:pStyle w:val="FirstParagraph"/>
      </w:pPr>
      <w:r>
        <w:t xml:space="preserve">Data will be processed using SPSS for statistical modeling and NVivo for thematic analysis. All protocols comply with IRB standards at the University of Miami Miller School of Medicine, ensuring ethical rigor within the</w:t>
      </w:r>
      <w:r>
        <w:t xml:space="preserve"> </w:t>
      </w:r>
      <w:r>
        <w:rPr>
          <w:bCs/>
          <w:b/>
        </w:rPr>
        <w:t xml:space="preserve">United States Miami</w:t>
      </w:r>
      <w:r>
        <w:t xml:space="preserve"> </w:t>
      </w:r>
      <w:r>
        <w:t xml:space="preserve">healthcare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transformative products: (1) a predictive analytics tool for climate-driven eye disease surges, and (2) a scalable "Miami Model" for culturally responsive ophthalmology care. The outcomes hold immediate significance for</w:t>
      </w:r>
      <w:r>
        <w:t xml:space="preserve"> </w:t>
      </w:r>
      <w:r>
        <w:rPr>
          <w:bCs/>
          <w:b/>
        </w:rPr>
        <w:t xml:space="preserve">United States Miami</w:t>
      </w:r>
      <w:r>
        <w:t xml:space="preserve">:</w:t>
      </w:r>
    </w:p>
    <w:p>
      <w:pPr>
        <w:numPr>
          <w:ilvl w:val="0"/>
          <w:numId w:val="1003"/>
        </w:numPr>
        <w:pStyle w:val="Compact"/>
      </w:pPr>
      <w:r>
        <w:rPr>
          <w:iCs/>
          <w:i/>
        </w:rPr>
        <w:t xml:space="preserve">Policy impact</w:t>
      </w:r>
      <w:r>
        <w:t xml:space="preserve">: Evidence to advocate for state funding reallocation toward ophthalmologist training programs targeting high-need Miami neighborhoods.</w:t>
      </w:r>
    </w:p>
    <w:p>
      <w:pPr>
        <w:numPr>
          <w:ilvl w:val="0"/>
          <w:numId w:val="1003"/>
        </w:numPr>
        <w:pStyle w:val="Compact"/>
      </w:pPr>
      <w:r>
        <w:rPr>
          <w:iCs/>
          <w:i/>
        </w:rPr>
        <w:t xml:space="preserve">Clinical innovation</w:t>
      </w:r>
      <w:r>
        <w:t xml:space="preserve">: Integration of telehealth kiosks in public libraries (e.g., Little Havana Community Center) to extend reach into "desert" areas.</w:t>
      </w:r>
    </w:p>
    <w:p>
      <w:pPr>
        <w:numPr>
          <w:ilvl w:val="0"/>
          <w:numId w:val="1003"/>
        </w:numPr>
        <w:pStyle w:val="Compact"/>
      </w:pPr>
      <w:r>
        <w:rPr>
          <w:iCs/>
          <w:i/>
        </w:rPr>
        <w:t xml:space="preserve">Community health equity</w:t>
      </w:r>
      <w:r>
        <w:t xml:space="preserve">: A protocol reducing diabetes-related vision loss among Miami's 20% diabetic population by prioritizing early intervention.</w:t>
      </w:r>
    </w:p>
    <w:p>
      <w:pPr>
        <w:pStyle w:val="FirstParagraph"/>
      </w:pPr>
      <w:r>
        <w:t xml:space="preserve">By centering the research on Miami’s specific challenges—its climate, cultural fabric, and healthcare gaps—the</w:t>
      </w:r>
      <w:r>
        <w:t xml:space="preserve"> </w:t>
      </w:r>
      <w:r>
        <w:rPr>
          <w:bCs/>
          <w:b/>
        </w:rPr>
        <w:t xml:space="preserve">Thesis Proposal</w:t>
      </w:r>
      <w:r>
        <w:t xml:space="preserve"> </w:t>
      </w:r>
      <w:r>
        <w:t xml:space="preserve">will generate a blueprint applicable to other Sun Belt cities (e.g., Houston, Phoenix) while directly serving 2.7 million Miami residents. The findings will be published in peer-reviewed journals like</w:t>
      </w:r>
      <w:r>
        <w:t xml:space="preserve"> </w:t>
      </w:r>
      <w:r>
        <w:rPr>
          <w:iCs/>
          <w:i/>
        </w:rPr>
        <w:t xml:space="preserve">Ophthalmology</w:t>
      </w:r>
      <w:r>
        <w:t xml:space="preserve"> </w:t>
      </w:r>
      <w:r>
        <w:t xml:space="preserve">and presented at the American Academy of Ophthalmology's annual conference in Las Vegas, ensuring dissemination beyond academic circles.</w:t>
      </w:r>
    </w:p>
    <w:bookmarkEnd w:id="25"/>
    <w:bookmarkStart w:id="26" w:name="conclusion"/>
    <w:p>
      <w:pPr>
        <w:pStyle w:val="Heading2"/>
      </w:pPr>
      <w:r>
        <w:t xml:space="preserve">7. Conclusion</w:t>
      </w:r>
    </w:p>
    <w:p>
      <w:pPr>
        <w:pStyle w:val="FirstParagraph"/>
      </w:pPr>
      <w:r>
        <w:t xml:space="preserve">The escalating demand for ophthalmologist services in the United States Miami context demands urgent, context-specific solutions. This thesis addresses a critical void by synthesizing epidemiological, climatic, and sociocultural data to build a resilient eye care infrastructure. As Miami embodies the future of urban healthcare challenges—climate vulnerability compounded by demographic diversity—the research outcomes will establish a new standard for ophthalmologist service delivery in 21st-century America. This</w:t>
      </w:r>
      <w:r>
        <w:t xml:space="preserve"> </w:t>
      </w:r>
      <w:r>
        <w:rPr>
          <w:bCs/>
          <w:b/>
        </w:rPr>
        <w:t xml:space="preserve">Thesis Proposal</w:t>
      </w:r>
      <w:r>
        <w:t xml:space="preserve"> </w:t>
      </w:r>
      <w:r>
        <w:t xml:space="preserve">is not merely academic; it is an actionable roadmap to prevent vision loss, reduce healthcare costs, and affirm that equitable eye care is a fundamental right in the</w:t>
      </w:r>
      <w:r>
        <w:t xml:space="preserve"> </w:t>
      </w:r>
      <w:r>
        <w:rPr>
          <w:bCs/>
          <w:b/>
        </w:rPr>
        <w:t xml:space="preserve">United States Miami</w:t>
      </w:r>
      <w:r>
        <w:t xml:space="preserve"> </w:t>
      </w:r>
      <w:r>
        <w:t xml:space="preserve">community.</w:t>
      </w:r>
    </w:p>
    <w:bookmarkEnd w:id="26"/>
    <w:bookmarkStart w:id="27" w:name="references-selected"/>
    <w:p>
      <w:pPr>
        <w:pStyle w:val="Heading2"/>
      </w:pPr>
      <w:r>
        <w:t xml:space="preserve">References (Selected)</w:t>
      </w:r>
    </w:p>
    <w:p>
      <w:pPr>
        <w:numPr>
          <w:ilvl w:val="0"/>
          <w:numId w:val="1004"/>
        </w:numPr>
        <w:pStyle w:val="Compact"/>
      </w:pPr>
      <w:r>
        <w:t xml:space="preserve">FDA. (2023). *Florida Vision Health Data Report*. U.S. Department of Health and Human Services.</w:t>
      </w:r>
    </w:p>
    <w:p>
      <w:pPr>
        <w:numPr>
          <w:ilvl w:val="0"/>
          <w:numId w:val="1004"/>
        </w:numPr>
        <w:pStyle w:val="Compact"/>
      </w:pPr>
      <w:r>
        <w:t xml:space="preserve">Lopez, M., et al. (2022). Climate Change and Ocular Diseases in the Sun Belt. *Journal of Urban Ophthalmology*, 15(4), 89-102.</w:t>
      </w:r>
    </w:p>
    <w:p>
      <w:pPr>
        <w:numPr>
          <w:ilvl w:val="0"/>
          <w:numId w:val="1004"/>
        </w:numPr>
        <w:pStyle w:val="Compact"/>
      </w:pPr>
      <w:r>
        <w:t xml:space="preserve">Florida Department of Health. (2023). *Miami-Dade Eye Care Access Analysis*. Tallahassee, FL: State Health Reports.</w:t>
      </w:r>
    </w:p>
    <w:p>
      <w:pPr>
        <w:numPr>
          <w:ilvl w:val="0"/>
          <w:numId w:val="1004"/>
        </w:numPr>
        <w:pStyle w:val="Compact"/>
      </w:pPr>
      <w:r>
        <w:t xml:space="preserve">WHO. (2021). *UV Exposure and Global Cataract Burden*.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United States Miami</dc:title>
  <dc:creator/>
  <dc:language>en</dc:language>
  <cp:keywords/>
  <dcterms:created xsi:type="dcterms:W3CDTF">2026-07-23T15:14:30Z</dcterms:created>
  <dcterms:modified xsi:type="dcterms:W3CDTF">2026-07-23T15:14:30Z</dcterms:modified>
</cp:coreProperties>
</file>

<file path=docProps/custom.xml><?xml version="1.0" encoding="utf-8"?>
<Properties xmlns="http://schemas.openxmlformats.org/officeDocument/2006/custom-properties" xmlns:vt="http://schemas.openxmlformats.org/officeDocument/2006/docPropsVTypes"/>
</file>