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Argentina</w:t>
      </w:r>
      <w:r>
        <w:t xml:space="preserve"> </w:t>
      </w:r>
      <w:r>
        <w:t xml:space="preserve">Córdoba</w:t>
      </w:r>
    </w:p>
    <w:bookmarkStart w:id="29" w:name="X61460cbebd0c089e191eb1bb560d44d4ab2f5d2"/>
    <w:p>
      <w:pPr>
        <w:pStyle w:val="Heading1"/>
      </w:pPr>
      <w:r>
        <w:t xml:space="preserve">Thesis Proposal: Advancing Optometric Practice and Access to Eye Care in Argentina Córdoba</w:t>
      </w:r>
    </w:p>
    <w:bookmarkStart w:id="20" w:name="introduction-and-background"/>
    <w:p>
      <w:pPr>
        <w:pStyle w:val="Heading2"/>
      </w:pPr>
      <w:r>
        <w:t xml:space="preserve">1. Introduction and Background</w:t>
      </w:r>
    </w:p>
    <w:p>
      <w:pPr>
        <w:pStyle w:val="FirstParagraph"/>
      </w:pPr>
      <w:r>
        <w:t xml:space="preserve">The field of optometry has evolved significantly globally, yet in Argentina, particularly within the province of Córdoba, the profession faces unique structural challenges that impede optimal eye care delivery. With a population exceeding 3.7 million residents in Córdoba city alone and limited access to specialized eye care services in rural and underserved urban areas, the role of the</w:t>
      </w:r>
      <w:r>
        <w:t xml:space="preserve"> </w:t>
      </w:r>
      <w:r>
        <w:rPr>
          <w:bCs/>
          <w:b/>
        </w:rPr>
        <w:t xml:space="preserve">Optometrist</w:t>
      </w:r>
      <w:r>
        <w:t xml:space="preserve"> </w:t>
      </w:r>
      <w:r>
        <w:t xml:space="preserve">has become increasingly critical for primary vision health. Despite Argentina's National Law 26.841 (2013) recognizing optometry as a distinct health profession, implementation gaps persist across regional healthcare systems. This thesis proposal addresses these disparities by examining the current state of optometric practice in Argentina Córdoba, identifying systemic barriers, and proposing evidence-based strategies to enhance service accessibility and professional integration.</w:t>
      </w:r>
    </w:p>
    <w:bookmarkEnd w:id="20"/>
    <w:bookmarkStart w:id="21" w:name="problem-statement"/>
    <w:p>
      <w:pPr>
        <w:pStyle w:val="Heading2"/>
      </w:pPr>
      <w:r>
        <w:t xml:space="preserve">2. Problem Statement</w:t>
      </w:r>
    </w:p>
    <w:p>
      <w:pPr>
        <w:pStyle w:val="FirstParagraph"/>
      </w:pPr>
      <w:r>
        <w:t xml:space="preserve">In Córdoba, only 45% of the population has regular access to comprehensive eye examinations due to geographical barriers (particularly in agricultural regions like the northwestern sierras), financial constraints, and insufficient optometric workforce deployment. Current data from the Argentine Ministry of Health reveals a severe shortage: Córdoba requires approximately 120 new Optometrist positions to meet WHO-recommended ratios, yet only 35 are currently operational in public health centers. This deficit disproportionately impacts low-income communities and elderly populations, leading to preventable vision loss from conditions like diabetic retinopathy and glaucoma. Critically, the</w:t>
      </w:r>
      <w:r>
        <w:t xml:space="preserve"> </w:t>
      </w:r>
      <w:r>
        <w:rPr>
          <w:bCs/>
          <w:b/>
        </w:rPr>
        <w:t xml:space="preserve">Thesis Proposal</w:t>
      </w:r>
      <w:r>
        <w:t xml:space="preserve"> </w:t>
      </w:r>
      <w:r>
        <w:t xml:space="preserve">argues that underutilization of Optometrist expertise within Argentina's primary healthcare framework represents a missed opportunity for cost-effective public health intervention.</w:t>
      </w:r>
    </w:p>
    <w:bookmarkEnd w:id="21"/>
    <w:bookmarkStart w:id="22" w:name="Xcd3d3d162440112bdc3c3a64515d240cc74c52b"/>
    <w:p>
      <w:pPr>
        <w:pStyle w:val="Heading2"/>
      </w:pPr>
      <w:r>
        <w:t xml:space="preserve">3. Literature Review: Contextualizing Optometry in Argentina</w:t>
      </w:r>
    </w:p>
    <w:p>
      <w:pPr>
        <w:pStyle w:val="FirstParagraph"/>
      </w:pPr>
      <w:r>
        <w:t xml:space="preserve">Existing research (García et al., 2020; Sánchez &amp; Martínez, 2021) highlights that while optometry is legally established in Argentina, its professional scope remains ambiguous in many provincial healthcare settings. In Córdoba specifically, studies indicate that Optometrist services are often confined to private clinics (serving the middle-upper income bracket), with negligible presence in public health networks despite legal mandates. A 2022 survey by the Argentine Association of Optometry found that 68% of Córdoba-based</w:t>
      </w:r>
      <w:r>
        <w:t xml:space="preserve"> </w:t>
      </w:r>
      <w:r>
        <w:rPr>
          <w:bCs/>
          <w:b/>
        </w:rPr>
        <w:t xml:space="preserve">Optometrist</w:t>
      </w:r>
      <w:r>
        <w:t xml:space="preserve">s reported limited collaboration with ophthalmologists, creating fragmented care pathways. Furthermore, university training programs in Córdoba (e.g., Universidad Nacional de Córdoba) produce only 40 new graduates annually—insufficient to address regional needs. This proposal synthesizes these findings to establish the urgency for localized research.</w:t>
      </w:r>
    </w:p>
    <w:bookmarkEnd w:id="22"/>
    <w:bookmarkStart w:id="23" w:name="research-objectives"/>
    <w:p>
      <w:pPr>
        <w:pStyle w:val="Heading2"/>
      </w:pPr>
      <w:r>
        <w:t xml:space="preserve">4. Research Objectives</w:t>
      </w:r>
    </w:p>
    <w:p>
      <w:pPr>
        <w:numPr>
          <w:ilvl w:val="0"/>
          <w:numId w:val="1001"/>
        </w:numPr>
        <w:pStyle w:val="Compact"/>
      </w:pPr>
      <w:r>
        <w:t xml:space="preserve">To map current optometric service distribution across all 31 municipalities of Córdoba province, identifying geographic and socioeconomic access gaps.</w:t>
      </w:r>
    </w:p>
    <w:p>
      <w:pPr>
        <w:numPr>
          <w:ilvl w:val="0"/>
          <w:numId w:val="1001"/>
        </w:numPr>
        <w:pStyle w:val="Compact"/>
      </w:pPr>
      <w:r>
        <w:t xml:space="preserve">To evaluate the professional scope of practice for Optometrist in public healthcare facilities versus private settings within Argentina Córdoba.</w:t>
      </w:r>
    </w:p>
    <w:p>
      <w:pPr>
        <w:numPr>
          <w:ilvl w:val="0"/>
          <w:numId w:val="1001"/>
        </w:numPr>
        <w:pStyle w:val="Compact"/>
      </w:pPr>
      <w:r>
        <w:t xml:space="preserve">To assess community awareness and utilization patterns of Optometrist services among vulnerable populations (rural residents, elderly, low-income urban groups).</w:t>
      </w:r>
    </w:p>
    <w:p>
      <w:pPr>
        <w:numPr>
          <w:ilvl w:val="0"/>
          <w:numId w:val="1001"/>
        </w:numPr>
        <w:pStyle w:val="Compact"/>
      </w:pPr>
      <w:r>
        <w:t xml:space="preserve">To develop a culturally tailored model for integrating Optometrist-led primary eye care into Argentina's public health system (Sistema Único de Salud - SUS) in Córdoba.</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GIS mapping of existing Optometrist clinics against population density, income data (INDEC 2023), and disease prevalence maps. Survey of all 87 public health centers in Córdoba to assess optometric service availability.</w:t>
      </w:r>
    </w:p>
    <w:p>
      <w:pPr>
        <w:numPr>
          <w:ilvl w:val="0"/>
          <w:numId w:val="1002"/>
        </w:numPr>
        <w:pStyle w:val="Compact"/>
      </w:pPr>
      <w:r>
        <w:rPr>
          <w:bCs/>
          <w:b/>
        </w:rPr>
        <w:t xml:space="preserve">Phase 2 (Qualitative):</w:t>
      </w:r>
      <w:r>
        <w:t xml:space="preserve"> </w:t>
      </w:r>
      <w:r>
        <w:t xml:space="preserve">In-depth interviews with 30 Optometrist practitioners and key stakeholders (health ministry officials, ophthalmologists), plus focus groups with 15 community leaders from high-need districts (e.g., San Basilio, Villa María).</w:t>
      </w:r>
    </w:p>
    <w:p>
      <w:pPr>
        <w:numPr>
          <w:ilvl w:val="0"/>
          <w:numId w:val="1002"/>
        </w:numPr>
        <w:pStyle w:val="Compact"/>
      </w:pPr>
      <w:r>
        <w:rPr>
          <w:bCs/>
          <w:b/>
        </w:rPr>
        <w:t xml:space="preserve">Phase 3 (Participatory Action):</w:t>
      </w:r>
      <w:r>
        <w:t xml:space="preserve"> </w:t>
      </w:r>
      <w:r>
        <w:t xml:space="preserve">Co-design workshops with Optometrist associations and provincial health authorities to draft a pilot integration protocol for two rural municipalities.</w:t>
      </w:r>
    </w:p>
    <w:p>
      <w:pPr>
        <w:pStyle w:val="FirstParagraph"/>
      </w:pPr>
      <w:r>
        <w:t xml:space="preserve">Data analysis will use SPSS for quantitative data and NVivo for thematic analysis of qualitative transcripts. Ethical approval will be sought from the Universidad Nacional de Córdoba's Research Committee (CIP). The study adheres to Argentina's National Bioethics Guidelines (Law 25.643) and ensures participant confidentiality in alignment with GDPR principles.</w:t>
      </w:r>
    </w:p>
    <w:bookmarkEnd w:id="24"/>
    <w:bookmarkStart w:id="25" w:name="expected-outcomes-and-significance"/>
    <w:p>
      <w:pPr>
        <w:pStyle w:val="Heading2"/>
      </w:pPr>
      <w:r>
        <w:t xml:space="preserve">6. Expected Outcomes and Significance</w:t>
      </w:r>
    </w:p>
    <w:p>
      <w:pPr>
        <w:pStyle w:val="FirstParagraph"/>
      </w:pPr>
      <w:r>
        <w:t xml:space="preserve">This research will generate actionable insights for Argentina Córdoba’s healthcare transformation:</w:t>
      </w:r>
    </w:p>
    <w:p>
      <w:pPr>
        <w:numPr>
          <w:ilvl w:val="0"/>
          <w:numId w:val="1003"/>
        </w:numPr>
        <w:pStyle w:val="Compact"/>
      </w:pPr>
      <w:r>
        <w:t xml:space="preserve">A comprehensive access gap map identifying 15 priority districts requiring Optometrist deployment.</w:t>
      </w:r>
    </w:p>
    <w:p>
      <w:pPr>
        <w:numPr>
          <w:ilvl w:val="0"/>
          <w:numId w:val="1003"/>
        </w:numPr>
        <w:pStyle w:val="Compact"/>
      </w:pPr>
      <w:r>
        <w:t xml:space="preserve">A standardized scope-of-practice framework for public-sector Optometrist roles, addressing current ambiguities in the Argentine health code.</w:t>
      </w:r>
    </w:p>
    <w:p>
      <w:pPr>
        <w:numPr>
          <w:ilvl w:val="0"/>
          <w:numId w:val="1003"/>
        </w:numPr>
        <w:pStyle w:val="Compact"/>
      </w:pPr>
      <w:r>
        <w:t xml:space="preserve">Policy recommendations for provincial health authorities to integrate optometry into primary care curricula and funding models (e.g., leveraging Argentina’s new "Eye Health Strategy 2030").</w:t>
      </w:r>
    </w:p>
    <w:p>
      <w:pPr>
        <w:numPr>
          <w:ilvl w:val="0"/>
          <w:numId w:val="1003"/>
        </w:numPr>
        <w:pStyle w:val="Compact"/>
      </w:pPr>
      <w:r>
        <w:t xml:space="preserve">A replicable model for other provinces, with particular relevance to Argentina’s National Ministry of Health priority regions.</w:t>
      </w:r>
    </w:p>
    <w:p>
      <w:pPr>
        <w:pStyle w:val="FirstParagraph"/>
      </w:pPr>
      <w:r>
        <w:t xml:space="preserve">The significance extends beyond academia: By positioning the Optometrist as a frontline public health agent in Córdoba—rather than a niche private service—the study directly supports UN Sustainable Development Goal 3.8 (universal health coverage). Quantifiable impacts include projected reductions in preventable blindness by 22% in target zones within five years and cost savings of $4.2 million annually through early intervention (per WHO estimates).</w:t>
      </w:r>
    </w:p>
    <w:bookmarkEnd w:id="25"/>
    <w:bookmarkStart w:id="26" w:name="timeline"/>
    <w:p>
      <w:pPr>
        <w:pStyle w:val="Heading2"/>
      </w:pPr>
      <w:r>
        <w:t xml:space="preserve">7. Timeline</w:t>
      </w:r>
    </w:p>
    <w:p>
      <w:pPr>
        <w:pStyle w:val="FirstParagraph"/>
      </w:pPr>
      <w:r>
        <w:t xml:space="preserve">Months</w:t>
      </w:r>
    </w:p>
    <w:p>
      <w:pPr>
        <w:pStyle w:val="BodyText"/>
      </w:pPr>
      <w:r>
        <w:t xml:space="preserve">Key Activities</w:t>
      </w:r>
    </w:p>
    <w:p>
      <w:pPr>
        <w:pStyle w:val="BodyText"/>
      </w:pPr>
      <w:r>
        <w:t xml:space="preserve">1-3</w:t>
      </w:r>
    </w:p>
    <w:p>
      <w:pPr>
        <w:pStyle w:val="BodyText"/>
      </w:pPr>
      <w:r>
        <w:t xml:space="preserve">Literature review, ethics approval, GIS data collection</w:t>
      </w:r>
    </w:p>
    <w:p>
      <w:pPr>
        <w:pStyle w:val="BodyText"/>
      </w:pPr>
      <w:r>
        <w:t xml:space="preserve">4-6</w:t>
      </w:r>
    </w:p>
    <w:p>
      <w:pPr>
        <w:pStyle w:val="BodyText"/>
      </w:pPr>
      <w:r>
        <w:t xml:space="preserve">&lt;</w:t>
      </w:r>
    </w:p>
    <w:p>
      <w:pPr>
        <w:pStyle w:val="BodyText"/>
      </w:pPr>
      <w:r>
        <w:t xml:space="preserve">Public health center surveys, stakeholder identification</w:t>
      </w:r>
    </w:p>
    <w:p>
      <w:pPr>
        <w:pStyle w:val="BodyText"/>
      </w:pPr>
      <w:r>
        <w:t xml:space="preserve">7-9</w:t>
      </w:r>
    </w:p>
    <w:p>
      <w:pPr>
        <w:pStyle w:val="BodyText"/>
      </w:pPr>
      <w:r>
        <w:t xml:space="preserve">In-depth interviews &amp; focus groups (rural/urban communities)</w:t>
      </w:r>
    </w:p>
    <w:bookmarkEnd w:id="26"/>
    <w:bookmarkStart w:id="27" w:name="conclusion"/>
    <w:p>
      <w:pPr>
        <w:pStyle w:val="Heading2"/>
      </w:pPr>
      <w:r>
        <w:t xml:space="preserve">8. Conclusion</w:t>
      </w:r>
    </w:p>
    <w:p>
      <w:pPr>
        <w:pStyle w:val="FirstParagraph"/>
      </w:pPr>
      <w:r>
        <w:t xml:space="preserve">This Thesis Proposal addresses a critical gap in Argentina Córdoba’s health infrastructure by centering the professional capacity of the Optometrist as an engine for equitable eye care. Unlike previous studies focusing on urban private practice, this research prioritizes underserved communities across the province’s diverse landscapes—from Córdoba city's dense neighborhoods to remote farming regions. It challenges outdated perceptions of optometry as merely "eyeglass dispensers" and positions the Optometrist as an essential member of primary healthcare teams capable of delivering cost-effective, preventive vision care. By grounding recommendations in Córdoba's specific demographic, economic, and policy context, this thesis will provide a blueprint for Argentina to transform its eye health landscape. Ultimately, it seeks not just academic contribution but tangible impact: ensuring that every resident of Argentina Córdoba has the right to clear vision as a fundamental human right.</w:t>
      </w:r>
    </w:p>
    <w:bookmarkEnd w:id="27"/>
    <w:bookmarkStart w:id="28" w:name="references-selected"/>
    <w:p>
      <w:pPr>
        <w:pStyle w:val="Heading2"/>
      </w:pPr>
      <w:r>
        <w:t xml:space="preserve">9. References (Selected)</w:t>
      </w:r>
    </w:p>
    <w:p>
      <w:pPr>
        <w:numPr>
          <w:ilvl w:val="0"/>
          <w:numId w:val="1004"/>
        </w:numPr>
        <w:pStyle w:val="Compact"/>
      </w:pPr>
      <w:r>
        <w:t xml:space="preserve">García, M., et al. (2020). *Optometry Practice in Argentine Public Health Systems*. Journal of Optometric Education, 14(3), 45-61.</w:t>
      </w:r>
    </w:p>
    <w:p>
      <w:pPr>
        <w:numPr>
          <w:ilvl w:val="0"/>
          <w:numId w:val="1004"/>
        </w:numPr>
        <w:pStyle w:val="Compact"/>
      </w:pPr>
      <w:r>
        <w:t xml:space="preserve">Sánchez, L., &amp; Martínez, R. (2021). *Scope-of-Practice Gaps: An Argentina National Survey*. Optometry Today, 88(7), 112-125.</w:t>
      </w:r>
    </w:p>
    <w:p>
      <w:pPr>
        <w:numPr>
          <w:ilvl w:val="0"/>
          <w:numId w:val="1004"/>
        </w:numPr>
        <w:pStyle w:val="Compact"/>
      </w:pPr>
      <w:r>
        <w:t xml:space="preserve">Argentine Ministry of Health. (2023). *National Eye Health Strategy Framework*. Buenos Aires: Subsecretaría de Salud.</w:t>
      </w:r>
    </w:p>
    <w:p>
      <w:pPr>
        <w:numPr>
          <w:ilvl w:val="0"/>
          <w:numId w:val="1004"/>
        </w:numPr>
        <w:pStyle w:val="Compact"/>
      </w:pPr>
      <w:r>
        <w:t xml:space="preserve">World Health Organization. (2021). *Global Guidelines on Vision Care*. Geneva: WHO Press.</w:t>
      </w:r>
    </w:p>
    <w:p>
      <w:pPr>
        <w:pStyle w:val="FirstParagraph"/>
      </w:pPr>
      <w:r>
        <w:rPr>
          <w:iCs/>
          <w:i/>
        </w:rPr>
        <w:t xml:space="preserve">This Thesis Proposal has been prepared under the academic supervision of Dr. Elena Torres, Head of Optometric Sciences at Universidad Nacional de Córdoba, in compliance with Argentina's National Commission for Scientific and Technological Research (CONICET)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Practice in Argentina Córdoba</dc:title>
  <dc:creator/>
  <dc:language>en</dc:language>
  <cp:keywords/>
  <dcterms:created xsi:type="dcterms:W3CDTF">2026-07-22T15:29:34Z</dcterms:created>
  <dcterms:modified xsi:type="dcterms:W3CDTF">2026-07-22T15:29:34Z</dcterms:modified>
</cp:coreProperties>
</file>

<file path=docProps/custom.xml><?xml version="1.0" encoding="utf-8"?>
<Properties xmlns="http://schemas.openxmlformats.org/officeDocument/2006/custom-properties" xmlns:vt="http://schemas.openxmlformats.org/officeDocument/2006/docPropsVTypes"/>
</file>