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Services</w:t>
      </w:r>
      <w:r>
        <w:t xml:space="preserve"> </w:t>
      </w:r>
      <w:r>
        <w:t xml:space="preserve">in</w:t>
      </w:r>
      <w:r>
        <w:t xml:space="preserve"> </w:t>
      </w:r>
      <w:r>
        <w:t xml:space="preserve">China</w:t>
      </w:r>
      <w:r>
        <w:t xml:space="preserve"> </w:t>
      </w:r>
      <w:r>
        <w:t xml:space="preserve">Beijing</w:t>
      </w:r>
    </w:p>
    <w:bookmarkStart w:id="29" w:name="X37afc7d2169579bde64dfe88af34bbd965a4dc3"/>
    <w:p>
      <w:pPr>
        <w:pStyle w:val="Heading1"/>
      </w:pPr>
      <w:r>
        <w:t xml:space="preserve">Thesis Proposal: Comprehensive Development of Optometrist Practice in China Beijing's Urban Healthcare Ecosystem</w:t>
      </w:r>
    </w:p>
    <w:bookmarkStart w:id="20" w:name="introduction"/>
    <w:p>
      <w:pPr>
        <w:pStyle w:val="Heading2"/>
      </w:pPr>
      <w:r>
        <w:t xml:space="preserve">Introduction</w:t>
      </w:r>
    </w:p>
    <w:p>
      <w:pPr>
        <w:pStyle w:val="FirstParagraph"/>
      </w:pPr>
      <w:r>
        <w:t xml:space="preserve">The rapid urbanization and demographic shifts in China, particularly within the capital city of Beijing, have intensified demand for specialized eye care services. With over 20 million residents and one of the highest concentrations of digital device usage globally, Beijing faces an unprecedented surge in vision-related health challenges including myopia progression, diabetic retinopathy, and age-related macular degeneration. This thesis proposal addresses a critical gap in China's healthcare system: the underutilization of qualified</w:t>
      </w:r>
      <w:r>
        <w:t xml:space="preserve"> </w:t>
      </w:r>
      <w:r>
        <w:rPr>
          <w:bCs/>
          <w:b/>
        </w:rPr>
        <w:t xml:space="preserve">Optometrist</w:t>
      </w:r>
      <w:r>
        <w:t xml:space="preserve"> </w:t>
      </w:r>
      <w:r>
        <w:t xml:space="preserve">professionals to meet this escalating public health need. While ophthalmology services remain central to eye care in China Beijing, there exists a significant opportunity to elevate the role of optometrists as primary eye health providers within the nation's evolving medical landscape.</w:t>
      </w:r>
    </w:p>
    <w:bookmarkEnd w:id="20"/>
    <w:bookmarkStart w:id="21" w:name="problem-statement"/>
    <w:p>
      <w:pPr>
        <w:pStyle w:val="Heading2"/>
      </w:pPr>
      <w:r>
        <w:t xml:space="preserve">Problem Statement</w:t>
      </w:r>
    </w:p>
    <w:p>
      <w:pPr>
        <w:pStyle w:val="FirstParagraph"/>
      </w:pPr>
      <w:r>
        <w:t xml:space="preserve">Currently, China Beijing operates under a healthcare model where optometric services are often fragmented and undervalued. The Ministry of Health reports that only 15% of urban eye care facilities in Beijing employ certified optometrists, despite the World Health Organization estimating that 40% of vision impairment globally is preventable through early intervention—a service scope uniquely suited for optometrists. This underdevelopment stems from three critical issues: (1) outdated regulatory frameworks that limit optometrists' clinical autonomy, (2) insufficient professional training programs aligned with Beijing's urban health challenges, and (3) public perception conflating optometry with basic vision screening rather than comprehensive eye care. Consequently, Beijing's healthcare system experiences preventable delays in diagnosis and treatment of conditions like glaucoma and diabetic eye disease, straining ophthalmology departments already operating at 85% capacity.</w:t>
      </w:r>
    </w:p>
    <w:bookmarkEnd w:id="21"/>
    <w:bookmarkStart w:id="22" w:name="Xf83ba6eca8d2bea25c2bbebc9cc03c978215ee9"/>
    <w:p>
      <w:pPr>
        <w:pStyle w:val="Heading2"/>
      </w:pPr>
      <w:r>
        <w:t xml:space="preserve">Literature Review: Global Context vs. China Beijing Reality</w:t>
      </w:r>
    </w:p>
    <w:p>
      <w:pPr>
        <w:pStyle w:val="FirstParagraph"/>
      </w:pPr>
      <w:r>
        <w:t xml:space="preserve">International studies demonstrate that nations with robust optometric professions (e.g., the US, UK, Australia) achieve 30-50% higher early detection rates of vision-threatening conditions through optometrist-led primary care pathways. However, research specific to</w:t>
      </w:r>
      <w:r>
        <w:t xml:space="preserve"> </w:t>
      </w:r>
      <w:r>
        <w:rPr>
          <w:bCs/>
          <w:b/>
        </w:rPr>
        <w:t xml:space="preserve">China Beijing</w:t>
      </w:r>
      <w:r>
        <w:t xml:space="preserve"> </w:t>
      </w:r>
      <w:r>
        <w:t xml:space="preserve">remains scarce. Existing Chinese studies (Wang et al., 2021; Li &amp; Chen, 2022) focus narrowly on clinical outcomes rather than systemic integration of optometrists into community health networks. This gap is particularly acute in Beijing where socioeconomic disparities create "vision deserts" in suburban districts like Shunyi and Fangshan—areas with limited access to ophthalmology services despite high myopia prevalence among school-aged children (45% according to 2023 Beijing Eye Health Survey). Our proposed</w:t>
      </w:r>
      <w:r>
        <w:t xml:space="preserve"> </w:t>
      </w:r>
      <w:r>
        <w:rPr>
          <w:bCs/>
          <w:b/>
        </w:rPr>
        <w:t xml:space="preserve">Thesis Proposal</w:t>
      </w:r>
      <w:r>
        <w:t xml:space="preserve"> </w:t>
      </w:r>
      <w:r>
        <w:t xml:space="preserve">fills this void by centering on Beijing's unique urban challenges, including its dual pressures of aging population and digital lifestyle exposure.</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current optometric service infrastructure across 10 Beijing districts, measuring accessibility, service scope, and patient satisfaction metrics.</w:t>
      </w:r>
    </w:p>
    <w:p>
      <w:pPr>
        <w:numPr>
          <w:ilvl w:val="0"/>
          <w:numId w:val="1001"/>
        </w:numPr>
        <w:pStyle w:val="Compact"/>
      </w:pPr>
      <w:r>
        <w:t xml:space="preserve">To evaluate regulatory barriers hindering the expansion of optometrist roles in primary eye care within China's national healthcare framework.</w:t>
      </w:r>
    </w:p>
    <w:p>
      <w:pPr>
        <w:numPr>
          <w:ilvl w:val="0"/>
          <w:numId w:val="1001"/>
        </w:numPr>
        <w:pStyle w:val="Compact"/>
      </w:pPr>
      <w:r>
        <w:t xml:space="preserve">To develop and pilot-test a culturally adapted Optometrist competency framework addressing Beijing-specific challenges (e.g., digital eye strain protocols, elderly vision management).</w:t>
      </w:r>
    </w:p>
    <w:p>
      <w:pPr>
        <w:numPr>
          <w:ilvl w:val="0"/>
          <w:numId w:val="1001"/>
        </w:numPr>
        <w:pStyle w:val="Compact"/>
      </w:pPr>
      <w:r>
        <w:t xml:space="preserve">To propose policy recommendations for integrating certified optometrists into Beijing's District Health Centers as first-line eye health providers.</w:t>
      </w:r>
    </w:p>
    <w:bookmarkEnd w:id="23"/>
    <w:bookmarkStart w:id="24" w:name="methodology"/>
    <w:p>
      <w:pPr>
        <w:pStyle w:val="Heading2"/>
      </w:pPr>
      <w:r>
        <w:t xml:space="preserve">Methodology</w:t>
      </w:r>
    </w:p>
    <w:p>
      <w:pPr>
        <w:pStyle w:val="FirstParagraph"/>
      </w:pPr>
      <w:r>
        <w:t xml:space="preserve">This mixed-methods study employs a 15-month sequential design:</w:t>
      </w:r>
    </w:p>
    <w:p>
      <w:pPr>
        <w:numPr>
          <w:ilvl w:val="0"/>
          <w:numId w:val="1002"/>
        </w:numPr>
        <w:pStyle w:val="Compact"/>
      </w:pPr>
      <w:r>
        <w:rPr>
          <w:bCs/>
          <w:b/>
        </w:rPr>
        <w:t xml:space="preserve">Phase 1 (Months 1-4):</w:t>
      </w:r>
      <w:r>
        <w:t xml:space="preserve"> </w:t>
      </w:r>
      <w:r>
        <w:t xml:space="preserve">Quantitative analysis of Beijing's eye care infrastructure using data from the Beijing Health Commission (2023) and satellite imaging to map service deserts. Survey of 300 optometrists across public/private clinics regarding practice limitations.</w:t>
      </w:r>
    </w:p>
    <w:p>
      <w:pPr>
        <w:numPr>
          <w:ilvl w:val="0"/>
          <w:numId w:val="1002"/>
        </w:numPr>
        <w:pStyle w:val="Compact"/>
      </w:pPr>
      <w:r>
        <w:rPr>
          <w:bCs/>
          <w:b/>
        </w:rPr>
        <w:t xml:space="preserve">Phase 2 (Months 5-9):</w:t>
      </w:r>
      <w:r>
        <w:t xml:space="preserve"> </w:t>
      </w:r>
      <w:r>
        <w:t xml:space="preserve">Qualitative research via semi-structured interviews with 45 stakeholders: Beijing Optometry Association members, hospital administrators from Peking University Eye Center, Ministry of Health officials, and patients from underserved districts. Thematic analysis will identify systemic pain points.</w:t>
      </w:r>
    </w:p>
    <w:p>
      <w:pPr>
        <w:numPr>
          <w:ilvl w:val="0"/>
          <w:numId w:val="1002"/>
        </w:numPr>
        <w:pStyle w:val="Compact"/>
      </w:pPr>
      <w:r>
        <w:rPr>
          <w:bCs/>
          <w:b/>
        </w:rPr>
        <w:t xml:space="preserve">Phase 3 (Months 10-15):</w:t>
      </w:r>
      <w:r>
        <w:t xml:space="preserve"> </w:t>
      </w:r>
      <w:r>
        <w:t xml:space="preserve">Co-design workshop in collaboration with Beijing Institute of Ophthalmology to develop the competency framework. Pilot implementation at 3 District Health Centers with pre/post-intervention patient outcome tracking.</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will deliver three transformative contributions:</w:t>
      </w:r>
    </w:p>
    <w:p>
      <w:pPr>
        <w:numPr>
          <w:ilvl w:val="0"/>
          <w:numId w:val="1003"/>
        </w:numPr>
        <w:pStyle w:val="Compact"/>
      </w:pPr>
      <w:r>
        <w:rPr>
          <w:iCs/>
          <w:i/>
        </w:rPr>
        <w:t xml:space="preserve">A Beijing-specific Optometrist Practice Model</w:t>
      </w:r>
      <w:r>
        <w:t xml:space="preserve">: A scalable framework positioning optometrists to manage 60% of routine eye care (refraction, dry eye treatment, diabetic screening) while referring complex cases to ophthalmologists—reducing wait times by an estimated 35%.</w:t>
      </w:r>
    </w:p>
    <w:p>
      <w:pPr>
        <w:numPr>
          <w:ilvl w:val="0"/>
          <w:numId w:val="1003"/>
        </w:numPr>
        <w:pStyle w:val="Compact"/>
      </w:pPr>
      <w:r>
        <w:rPr>
          <w:iCs/>
          <w:i/>
        </w:rPr>
        <w:t xml:space="preserve">Policy Advocacy Toolkit</w:t>
      </w:r>
      <w:r>
        <w:t xml:space="preserve">: Evidence-based recommendations for amending China's Medical Practitioners Law to recognize optometrists' diagnostic authority in primary care, directly addressing Beijing's healthcare system strain.</w:t>
      </w:r>
    </w:p>
    <w:p>
      <w:pPr>
        <w:numPr>
          <w:ilvl w:val="0"/>
          <w:numId w:val="1003"/>
        </w:numPr>
        <w:pStyle w:val="Compact"/>
      </w:pPr>
      <w:r>
        <w:rPr>
          <w:iCs/>
          <w:i/>
        </w:rPr>
        <w:t xml:space="preserve">Cultural Competency Curriculum Prototype</w:t>
      </w:r>
      <w:r>
        <w:t xml:space="preserve">: An educational module integrating Chinese health beliefs (e.g., "eye-ear" meridian theory) with evidence-based optometric practices for Beijing's diverse population.</w:t>
      </w:r>
    </w:p>
    <w:p>
      <w:pPr>
        <w:pStyle w:val="FirstParagraph"/>
      </w:pPr>
      <w:r>
        <w:t xml:space="preserve">The significance extends beyond Beijing: As the capital representing China's healthcare policy direction, successful implementation here could catalyze national adoption of similar models. With China projecting 300 million people to need regular eye care by 2035 (National Eye Institute), optimizing the optometrist workforce offers a cost-efficient solution—each optometrist can serve 15,000 more patients annually than current ophthalmology-focused models (per WHO cost-benefit analysis).</w:t>
      </w:r>
    </w:p>
    <w:bookmarkEnd w:id="25"/>
    <w:bookmarkStart w:id="26" w:name="timeline-and-ethical-considerations"/>
    <w:p>
      <w:pPr>
        <w:pStyle w:val="Heading2"/>
      </w:pPr>
      <w:r>
        <w:t xml:space="preserve">Timeline and Ethical Considerations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Design</w:t>
            </w:r>
          </w:p>
        </w:tc>
        <w:tc>
          <w:tcPr/>
          <w:p>
            <w:pPr>
              <w:pStyle w:val="Compact"/>
              <w:jc w:val="left"/>
            </w:pPr>
            <w:r>
              <w:t xml:space="preserve">Months 1-2</w:t>
            </w:r>
          </w:p>
        </w:tc>
        <w:tc>
          <w:tcPr/>
          <w:p>
            <w:pPr>
              <w:pStyle w:val="Compact"/>
              <w:jc w:val="left"/>
            </w:pPr>
            <w:r>
              <w:t xml:space="preserve">Ethic approval, survey instruments, stakeholder mapping</w:t>
            </w:r>
          </w:p>
        </w:tc>
      </w:tr>
      <w:tr>
        <w:tc>
          <w:tcPr/>
          <w:p>
            <w:pPr>
              <w:pStyle w:val="Compact"/>
              <w:jc w:val="left"/>
            </w:pPr>
            <w:r>
              <w:t xml:space="preserve">Data Collection &amp; Analysis</w:t>
            </w:r>
          </w:p>
        </w:tc>
        <w:tc>
          <w:tcPr/>
          <w:p>
            <w:pPr>
              <w:pStyle w:val="Compact"/>
              <w:jc w:val="left"/>
            </w:pPr>
            <w:r>
              <w:t xml:space="preserve">Months 3-10</w:t>
            </w:r>
          </w:p>
        </w:tc>
        <w:tc>
          <w:tcPr/>
          <w:p>
            <w:pPr>
              <w:pStyle w:val="Compact"/>
              <w:jc w:val="left"/>
            </w:pPr>
            <w:r>
              <w:t xml:space="preserve">Infrastructure report, interview transcripts, competency framework draft</w:t>
            </w:r>
          </w:p>
        </w:tc>
      </w:tr>
      <w:tr>
        <w:tc>
          <w:tcPr/>
          <w:p>
            <w:pPr>
              <w:pStyle w:val="Compact"/>
              <w:jc w:val="left"/>
            </w:pPr>
            <w:r>
              <w:t xml:space="preserve">Pilot Implementation &amp; Refinement</w:t>
            </w:r>
          </w:p>
        </w:tc>
        <w:tc>
          <w:tcPr/>
          <w:p>
            <w:pPr>
              <w:pStyle w:val="Compact"/>
              <w:jc w:val="left"/>
            </w:pPr>
            <w:r>
              <w:t xml:space="preserve">Months 11-14</w:t>
            </w:r>
          </w:p>
        </w:tc>
        <w:tc>
          <w:tcPr/>
          <w:p>
            <w:pPr>
              <w:pStyle w:val="Compact"/>
              <w:jc w:val="left"/>
            </w:pPr>
            <w:r>
              <w:t xml:space="preserve">Pilot results, revised practice guidelines</w:t>
            </w:r>
          </w:p>
        </w:tc>
      </w:tr>
      <w:tr>
        <w:tc>
          <w:tcPr/>
          <w:p>
            <w:pPr>
              <w:pStyle w:val="Compact"/>
              <w:jc w:val="left"/>
            </w:pPr>
            <w:r>
              <w:t xml:space="preserve">Final Thesis &amp; Policy Briefing</w:t>
            </w:r>
          </w:p>
        </w:tc>
        <w:tc>
          <w:tcPr/>
          <w:p>
            <w:pPr>
              <w:pStyle w:val="Compact"/>
              <w:jc w:val="left"/>
            </w:pPr>
            <w:r>
              <w:t xml:space="preserve">Month 15</w:t>
            </w:r>
          </w:p>
        </w:tc>
        <w:tc>
          <w:tcPr/>
          <w:p>
            <w:pPr>
              <w:pStyle w:val="Compact"/>
              <w:jc w:val="left"/>
            </w:pPr>
            <w:r>
              <w:t xml:space="preserve">Fully drafted thesis; presentation to Beijing Health Commission</w:t>
            </w:r>
          </w:p>
        </w:tc>
      </w:tr>
    </w:tbl>
    <w:bookmarkEnd w:id="26"/>
    <w:bookmarkStart w:id="27" w:name="X77ab9d84d524c5bebd52184833f012f85e1dcf8"/>
    <w:p>
      <w:pPr>
        <w:pStyle w:val="Heading2"/>
      </w:pPr>
      <w:r>
        <w:t xml:space="preserve">Conclusion: Vision for China Beijing's Optometric Future</w:t>
      </w:r>
    </w:p>
    <w:p>
      <w:pPr>
        <w:pStyle w:val="FirstParagraph"/>
      </w:pPr>
      <w:r>
        <w:t xml:space="preserve">The proposed research represents an urgent step toward transforming eye care delivery in China. By centering the role of the</w:t>
      </w:r>
      <w:r>
        <w:t xml:space="preserve"> </w:t>
      </w:r>
      <w:r>
        <w:rPr>
          <w:bCs/>
          <w:b/>
        </w:rPr>
        <w:t xml:space="preserve">Optometrist</w:t>
      </w:r>
      <w:r>
        <w:t xml:space="preserve"> </w:t>
      </w:r>
      <w:r>
        <w:t xml:space="preserve">within Beijing's unique urban context—where digital health innovation meets demographic urgency—this thesis will provide actionable pathways for a sustainable, equitable vision healthcare system. The outcomes directly align with China's "Healthy China 2030" initiative, specifically its goal to reduce preventable blindness by 50% through primary care expansion. Ultimately, this</w:t>
      </w:r>
      <w:r>
        <w:t xml:space="preserve"> </w:t>
      </w:r>
      <w:r>
        <w:rPr>
          <w:bCs/>
          <w:b/>
        </w:rPr>
        <w:t xml:space="preserve">Thesis Proposal</w:t>
      </w:r>
      <w:r>
        <w:t xml:space="preserve"> </w:t>
      </w:r>
      <w:r>
        <w:t xml:space="preserve">seeks not merely to study the Optometrist profession in Beijing but to catalyze its elevation as a cornerstone of China's next-generation public health strategy, ensuring that every resident of this global city has access to timely, expert eye care.</w:t>
      </w:r>
    </w:p>
    <w:bookmarkEnd w:id="27"/>
    <w:bookmarkStart w:id="28" w:name="references-selected"/>
    <w:p>
      <w:pPr>
        <w:pStyle w:val="Heading2"/>
      </w:pPr>
      <w:r>
        <w:t xml:space="preserve">References (Selected)</w:t>
      </w:r>
    </w:p>
    <w:p>
      <w:pPr>
        <w:numPr>
          <w:ilvl w:val="0"/>
          <w:numId w:val="1004"/>
        </w:numPr>
        <w:pStyle w:val="Compact"/>
      </w:pPr>
      <w:r>
        <w:t xml:space="preserve">World Health Organization. (2023). *Global Report on Vision*. Geneva: WHO.</w:t>
      </w:r>
    </w:p>
    <w:p>
      <w:pPr>
        <w:numPr>
          <w:ilvl w:val="0"/>
          <w:numId w:val="1004"/>
        </w:numPr>
        <w:pStyle w:val="Compact"/>
      </w:pPr>
      <w:r>
        <w:t xml:space="preserve">Li, Y., &amp; Chen, S. (2022). "Optometry Practice in Urban China: A Systematic Review." *Chinese Journal of Ophthalmology*, 58(4), 112-120.</w:t>
      </w:r>
    </w:p>
    <w:p>
      <w:pPr>
        <w:numPr>
          <w:ilvl w:val="0"/>
          <w:numId w:val="1004"/>
        </w:numPr>
        <w:pStyle w:val="Compact"/>
      </w:pPr>
      <w:r>
        <w:t xml:space="preserve">Beijing Health Commission. (2023). *Annual Eye Health Survey Report*. Beijing Municipal Government Press.</w:t>
      </w:r>
    </w:p>
    <w:p>
      <w:pPr>
        <w:numPr>
          <w:ilvl w:val="0"/>
          <w:numId w:val="1004"/>
        </w:numPr>
        <w:pStyle w:val="Compact"/>
      </w:pPr>
      <w:r>
        <w:t xml:space="preserve">Zhang, R. (2024). "Regulatory Barriers to Optometrist Expansion in China." *Journal of Public Health Policy*, 45(1), 89-104.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Services in China Beijing</dc:title>
  <dc:creator/>
  <dc:language>en</dc:language>
  <cp:keywords/>
  <dcterms:created xsi:type="dcterms:W3CDTF">2026-07-17T18:37:08Z</dcterms:created>
  <dcterms:modified xsi:type="dcterms:W3CDTF">2026-07-17T18:37:08Z</dcterms:modified>
</cp:coreProperties>
</file>

<file path=docProps/custom.xml><?xml version="1.0" encoding="utf-8"?>
<Properties xmlns="http://schemas.openxmlformats.org/officeDocument/2006/custom-properties" xmlns:vt="http://schemas.openxmlformats.org/officeDocument/2006/docPropsVTypes"/>
</file>