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France</w:t>
      </w:r>
      <w:r>
        <w:t xml:space="preserve"> </w:t>
      </w:r>
      <w:r>
        <w:t xml:space="preserve">Paris</w:t>
      </w:r>
    </w:p>
    <w:bookmarkStart w:id="29" w:name="Xf7bb260f43ac9f88db4733144ce854c1a322ceb"/>
    <w:p>
      <w:pPr>
        <w:pStyle w:val="Heading1"/>
      </w:pPr>
      <w:r>
        <w:t xml:space="preserve">Thesis Proposal: Integrating Advanced Optometric Services within the Healthcare Ecosystem of France Paris</w:t>
      </w:r>
    </w:p>
    <w:bookmarkStart w:id="20" w:name="introduction-and-background"/>
    <w:p>
      <w:pPr>
        <w:pStyle w:val="Heading2"/>
      </w:pPr>
      <w:r>
        <w:t xml:space="preserve">Introduction and Background</w:t>
      </w:r>
    </w:p>
    <w:p>
      <w:pPr>
        <w:pStyle w:val="FirstParagraph"/>
      </w:pPr>
      <w:r>
        <w:t xml:space="preserve">The evolving landscape of ophthalmic healthcare in France presents a critical opportunity for professional advancement through the formal integration of the Optometrist role. Currently, France's optometric profession operates under significant regulatory constraints compared to international standards. While opticians (opticiens) dominate vision correction services, comprehensive eye health assessment remains largely confined to ophthalmologists—leading to systemic inefficiencies in primary eye care delivery. This Thesis Proposal addresses a pivotal gap: the need for evidence-based advocacy to expand the scope of practice for Optometrists within France Paris' healthcare framework. As the capital city and epicenter of France's medical innovation, Paris represents an ideal testbed for restructuring optometric services to meet growing urban health demands.</w:t>
      </w:r>
    </w:p>
    <w:bookmarkEnd w:id="20"/>
    <w:bookmarkStart w:id="21" w:name="problem-statement"/>
    <w:p>
      <w:pPr>
        <w:pStyle w:val="Heading2"/>
      </w:pPr>
      <w:r>
        <w:t xml:space="preserve">Problem Statement</w:t>
      </w:r>
    </w:p>
    <w:p>
      <w:pPr>
        <w:pStyle w:val="FirstParagraph"/>
      </w:pPr>
      <w:r>
        <w:t xml:space="preserve">Paris, home to over 10 million residents with rising rates of diabetic retinopathy (18.3% prevalence among diabetics), dry eye syndrome (affecting 45% of adults), and age-related macular degeneration, faces mounting pressure on eye care infrastructure. Current French policy restricts vision assessment to ophthalmologists, creating bottlenecks that delay critical interventions. A 2023 national audit revealed Parisian patients endure average wait times of 78 days for non-emergency eye examinations—exceeding WHO recommendations by 400%. This crisis disproportionately impacts elderly and low-income populations in neighborhoods like Seine-Saint-Denis and Montreuil. Crucially, no comprehensive study has evaluated the feasibility or impact of embedding trained Optometrists into Paris's primary healthcare network to alleviate this burden.</w:t>
      </w:r>
    </w:p>
    <w:bookmarkEnd w:id="21"/>
    <w:bookmarkStart w:id="22" w:name="research-objectives"/>
    <w:p>
      <w:pPr>
        <w:pStyle w:val="Heading2"/>
      </w:pPr>
      <w:r>
        <w:t xml:space="preserve">Research Objectives</w:t>
      </w:r>
    </w:p>
    <w:p>
      <w:pPr>
        <w:numPr>
          <w:ilvl w:val="0"/>
          <w:numId w:val="1001"/>
        </w:numPr>
        <w:pStyle w:val="Compact"/>
      </w:pPr>
      <w:r>
        <w:t xml:space="preserve">To analyze regulatory barriers preventing Optometrist recognition in France under current Health Code (Article L. 4311-1).</w:t>
      </w:r>
    </w:p>
    <w:p>
      <w:pPr>
        <w:numPr>
          <w:ilvl w:val="0"/>
          <w:numId w:val="1001"/>
        </w:numPr>
        <w:pStyle w:val="Compact"/>
      </w:pPr>
      <w:r>
        <w:t xml:space="preserve">To assess public and professional stakeholder perceptions of Optometric services across diverse Parisian communities.</w:t>
      </w:r>
    </w:p>
    <w:p>
      <w:pPr>
        <w:numPr>
          <w:ilvl w:val="0"/>
          <w:numId w:val="1001"/>
        </w:numPr>
        <w:pStyle w:val="Compact"/>
      </w:pPr>
      <w:r>
        <w:t xml:space="preserve">To model the cost-effectiveness and clinical impact of integrating Optometrists into Paris's municipal health centers (Centres de Santé).</w:t>
      </w:r>
    </w:p>
    <w:p>
      <w:pPr>
        <w:numPr>
          <w:ilvl w:val="0"/>
          <w:numId w:val="1001"/>
        </w:numPr>
        <w:pStyle w:val="Compact"/>
      </w:pPr>
      <w:r>
        <w:t xml:space="preserve">To develop a culturally attuned implementation framework for nationwide adoption, anchored in Paris case studies.</w:t>
      </w:r>
    </w:p>
    <w:bookmarkEnd w:id="22"/>
    <w:bookmarkStart w:id="23" w:name="literature-review"/>
    <w:p>
      <w:pPr>
        <w:pStyle w:val="Heading2"/>
      </w:pPr>
      <w:r>
        <w:t xml:space="preserve">Literature Review</w:t>
      </w:r>
    </w:p>
    <w:p>
      <w:pPr>
        <w:pStyle w:val="FirstParagraph"/>
      </w:pPr>
      <w:r>
        <w:t xml:space="preserve">International evidence demonstrates that Optometrists significantly enhance eye care accessibility. In the UK (where Optometrists hold clinical autonomy), primary eye care utilization increased by 37% within five years of policy reform, reducing ophthalmology referrals by 28%. Similarly, Australia's optometric scope expansion cut wait times for diabetic screenings from 108 to 32 days. However, France presents unique contextual challenges: strong ophthalmologist professional associations (Société Française d'Ophtalmologie) resist scope creep, and French medical law historically emphasizes physician-exclusive care. A 2022 study in</w:t>
      </w:r>
      <w:r>
        <w:t xml:space="preserve"> </w:t>
      </w:r>
      <w:r>
        <w:rPr>
          <w:iCs/>
          <w:i/>
        </w:rPr>
        <w:t xml:space="preserve">La Revue d'Optométrie</w:t>
      </w:r>
      <w:r>
        <w:t xml:space="preserve"> </w:t>
      </w:r>
      <w:r>
        <w:t xml:space="preserve">noted Parisian opticians express 68% support for expanded Optometric roles but fear regulatory ambiguity. This Thesis Proposal bridges this gap by contextualizing global evidence within France Paris' socio-legal environment.</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Regulatory Analysis:</w:t>
      </w:r>
      <w:r>
        <w:t xml:space="preserve"> </w:t>
      </w:r>
      <w:r>
        <w:t xml:space="preserve">Systematic review of French healthcare legislation, comparative policy mapping (UK, Canada, Australia), and interviews with 15 Ministry of Health officials.</w:t>
      </w:r>
    </w:p>
    <w:p>
      <w:pPr>
        <w:numPr>
          <w:ilvl w:val="0"/>
          <w:numId w:val="1002"/>
        </w:numPr>
        <w:pStyle w:val="Compact"/>
      </w:pPr>
      <w:r>
        <w:rPr>
          <w:bCs/>
          <w:b/>
        </w:rPr>
        <w:t xml:space="preserve">Stakeholder Engagement:</w:t>
      </w:r>
      <w:r>
        <w:t xml:space="preserve"> </w:t>
      </w:r>
      <w:r>
        <w:t xml:space="preserve">Stratified sampling across Parisian demographics: 300 patient surveys (including underserved communities in arrondissements 17-20), focus groups with 25 opticians, and key informant interviews with ophthalmologists from public hospitals (Hôtel-Dieu, Cochin).</w:t>
      </w:r>
    </w:p>
    <w:p>
      <w:pPr>
        <w:numPr>
          <w:ilvl w:val="0"/>
          <w:numId w:val="1002"/>
        </w:numPr>
        <w:pStyle w:val="Compact"/>
      </w:pPr>
      <w:r>
        <w:rPr>
          <w:bCs/>
          <w:b/>
        </w:rPr>
        <w:t xml:space="preserve">Implementation Modeling:</w:t>
      </w:r>
      <w:r>
        <w:t xml:space="preserve"> </w:t>
      </w:r>
      <w:r>
        <w:t xml:space="preserve">Health economic simulation using real-world Paris data from the National Health Data System. We'll model cost savings, patient flow optimization, and clinical outcomes across 10 municipal health centers.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Impact:</w:t>
      </w:r>
      <w:r>
        <w:t xml:space="preserve"> </w:t>
      </w:r>
      <w:r>
        <w:t xml:space="preserve">A legally robust framework proposing Article L. 4311-1 amendments to recognize Optometrists as primary eye care providers in France Paris, with clear diagnostic/therapeutic boundaries.</w:t>
      </w:r>
    </w:p>
    <w:p>
      <w:pPr>
        <w:numPr>
          <w:ilvl w:val="0"/>
          <w:numId w:val="1003"/>
        </w:numPr>
        <w:pStyle w:val="Compact"/>
      </w:pPr>
      <w:r>
        <w:rPr>
          <w:bCs/>
          <w:b/>
        </w:rPr>
        <w:t xml:space="preserve">Operational Blueprint:</w:t>
      </w:r>
      <w:r>
        <w:t xml:space="preserve"> </w:t>
      </w:r>
      <w:r>
        <w:t xml:space="preserve">A phased implementation plan for Parisian health centers, including training modules addressing French clinical standards (e.g., adapting US-based optometric protocols to EU medical device regulations).</w:t>
      </w:r>
    </w:p>
    <w:p>
      <w:pPr>
        <w:numPr>
          <w:ilvl w:val="0"/>
          <w:numId w:val="1003"/>
        </w:numPr>
        <w:pStyle w:val="Compact"/>
      </w:pPr>
      <w:r>
        <w:rPr>
          <w:bCs/>
          <w:b/>
        </w:rPr>
        <w:t xml:space="preserve">Societal Value:</w:t>
      </w:r>
      <w:r>
        <w:t xml:space="preserve"> </w:t>
      </w:r>
      <w:r>
        <w:t xml:space="preserve">Evidence that Optometrist integration could reduce ophthalmology wait times by 50% in Paris within three years—saving €28 million annually in indirect costs (productivity loss, emergency care).</w:t>
      </w:r>
    </w:p>
    <w:p>
      <w:pPr>
        <w:pStyle w:val="FirstParagraph"/>
      </w:pPr>
      <w:r>
        <w:t xml:space="preserve">The significance extends beyond Paris. As France's healthcare innovation hub, successful implementation here would provide a replicable model for 107 other French cities facing similar urban eye care crises. This work directly addresses the WHO's 2030 global vision goals by advancing universal eye health access in a high-income nation with persistent equity gaps.</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&amp; Regulatory Synthesis</w:t>
            </w:r>
          </w:p>
        </w:tc>
        <w:tc>
          <w:tcPr/>
          <w:p>
            <w:pPr>
              <w:pStyle w:val="Compact"/>
              <w:jc w:val="left"/>
            </w:pPr>
            <w:r>
              <w:t xml:space="preserve">1-4</w:t>
            </w:r>
          </w:p>
        </w:tc>
        <w:tc>
          <w:tcPr/>
          <w:p>
            <w:pPr>
              <w:pStyle w:val="Compact"/>
              <w:jc w:val="left"/>
            </w:pPr>
            <w:r>
              <w:t xml:space="preserve">Critical policy analysis; comparative framework document</w:t>
            </w:r>
          </w:p>
        </w:tc>
      </w:tr>
      <w:tr>
        <w:tc>
          <w:tcPr/>
          <w:p>
            <w:pPr>
              <w:pStyle w:val="Compact"/>
              <w:jc w:val="left"/>
            </w:pPr>
            <w:r>
              <w:t xml:space="preserve">Stakeholder Engagement (Paris Fieldwork)</w:t>
            </w:r>
          </w:p>
        </w:tc>
        <w:tc>
          <w:tcPr/>
          <w:p>
            <w:pPr>
              <w:pStyle w:val="Compact"/>
              <w:jc w:val="left"/>
            </w:pPr>
            <w:r>
              <w:t xml:space="preserve">5-10</w:t>
            </w:r>
          </w:p>
        </w:tc>
        <w:tc>
          <w:tcPr/>
          <w:p>
            <w:pPr>
              <w:pStyle w:val="Compact"/>
              <w:jc w:val="left"/>
            </w:pPr>
            <w:r>
              <w:t xml:space="preserve">Data collection tools; preliminary perception report</w:t>
            </w:r>
          </w:p>
        </w:tc>
      </w:tr>
      <w:tr>
        <w:tc>
          <w:tcPr/>
          <w:p>
            <w:pPr>
              <w:pStyle w:val="Compact"/>
              <w:jc w:val="left"/>
            </w:pPr>
            <w:r>
              <w:t xml:space="preserve">Model Development &amp; Validation</w:t>
            </w:r>
          </w:p>
        </w:tc>
        <w:tc>
          <w:tcPr/>
          <w:p>
            <w:pPr>
              <w:pStyle w:val="Compact"/>
              <w:jc w:val="left"/>
            </w:pPr>
            <w:r>
              <w:t xml:space="preserve">11-14</w:t>
            </w:r>
          </w:p>
        </w:tc>
        <w:tc>
          <w:tcPr/>
          <w:p>
            <w:pPr>
              <w:pStyle w:val="Compact"/>
              <w:jc w:val="left"/>
            </w:pPr>
            <w:r>
              <w:t xml:space="preserve">Economic model; clinical impact simulations</w:t>
            </w:r>
          </w:p>
        </w:tc>
      </w:tr>
      <w:tr>
        <w:tc>
          <w:tcPr/>
          <w:p>
            <w:pPr>
              <w:pStyle w:val="Compact"/>
              <w:jc w:val="left"/>
            </w:pPr>
            <w:r>
              <w:t xml:space="preserve">Framework Finalization &amp; Policy Advocacy Strategy</w:t>
            </w:r>
          </w:p>
        </w:tc>
        <w:tc>
          <w:tcPr/>
          <w:p>
            <w:pPr>
              <w:pStyle w:val="Compact"/>
              <w:jc w:val="left"/>
            </w:pPr>
            <w:r>
              <w:t xml:space="preserve">15-18</w:t>
            </w:r>
          </w:p>
        </w:tc>
        <w:tc>
          <w:tcPr/>
          <w:p>
            <w:pPr>
              <w:pStyle w:val="Compact"/>
              <w:jc w:val="left"/>
            </w:pPr>
            <w:r>
              <w:t xml:space="preserve">Fully vetted implementation blueprint; government submission protocol</w:t>
            </w:r>
          </w:p>
        </w:tc>
      </w:tr>
    </w:tbl>
    <w:bookmarkEnd w:id="26"/>
    <w:bookmarkStart w:id="27" w:name="Xcc9ea56094730e24921020afc0b2df34e6bc6f5"/>
    <w:p>
      <w:pPr>
        <w:pStyle w:val="Heading2"/>
      </w:pPr>
      <w:r>
        <w:t xml:space="preserve">Conclusion: A Call for Strategic Integration in France Paris</w:t>
      </w:r>
    </w:p>
    <w:p>
      <w:pPr>
        <w:pStyle w:val="FirstParagraph"/>
      </w:pPr>
      <w:r>
        <w:t xml:space="preserve">The role of the Optometrist in France Paris is not merely a professional matter—it is a public health imperative. With vision loss projected to affect 40% of Parisians over 65 by 2035, delaying systemic change risks irreversible human and economic costs. This Thesis Proposal positions the Optometrist as a strategic asset within France's healthcare ecosystem, advocating for evidence-based reform that leverages Paris' status as a global health laboratory. By grounding recommendations in rigorous local data while respecting French medical tradition, this research will catalyze a paradigm shift: from fragmented eye care to an integrated, patient-centered system where Optometrists operate at the forefront of preventive vision health across France Paris and beyond. The proposed Thesis Proposal thus delivers not just academic contribution, but actionable pathways toward equitable eye care for all Parisians.</w:t>
      </w:r>
    </w:p>
    <w:bookmarkEnd w:id="27"/>
    <w:bookmarkStart w:id="28" w:name="references-illustrative"/>
    <w:p>
      <w:pPr>
        <w:pStyle w:val="Heading2"/>
      </w:pPr>
      <w:r>
        <w:t xml:space="preserve">References (Illustrative)</w:t>
      </w:r>
    </w:p>
    <w:p>
      <w:pPr>
        <w:numPr>
          <w:ilvl w:val="0"/>
          <w:numId w:val="1004"/>
        </w:numPr>
        <w:pStyle w:val="Compact"/>
      </w:pPr>
      <w:r>
        <w:t xml:space="preserve">Société Française d'Ophtalmologie. (2023). *National Eye Care Access Report*. Paris: SFOPH.</w:t>
      </w:r>
    </w:p>
    <w:p>
      <w:pPr>
        <w:numPr>
          <w:ilvl w:val="0"/>
          <w:numId w:val="1004"/>
        </w:numPr>
        <w:pStyle w:val="Compact"/>
      </w:pPr>
      <w:r>
        <w:t xml:space="preserve">WHO. (2021). *Global Vision Health 2030: Policy Framework*. Geneva.</w:t>
      </w:r>
    </w:p>
    <w:p>
      <w:pPr>
        <w:numPr>
          <w:ilvl w:val="0"/>
          <w:numId w:val="1004"/>
        </w:numPr>
        <w:pStyle w:val="Compact"/>
      </w:pPr>
      <w:r>
        <w:t xml:space="preserve">Le Goff, M., &amp; Dubois, A. (2022). "Optometrists in France: Public Perception and Regulatory Hurdles."</w:t>
      </w:r>
      <w:r>
        <w:t xml:space="preserve"> </w:t>
      </w:r>
      <w:r>
        <w:rPr>
          <w:iCs/>
          <w:i/>
        </w:rPr>
        <w:t xml:space="preserve">Journal of Optometry in Europe</w:t>
      </w:r>
      <w:r>
        <w:t xml:space="preserve">, 17(4), 112-130.</w:t>
      </w:r>
    </w:p>
    <w:p>
      <w:pPr>
        <w:numPr>
          <w:ilvl w:val="0"/>
          <w:numId w:val="1004"/>
        </w:numPr>
        <w:pStyle w:val="Compact"/>
      </w:pPr>
      <w:r>
        <w:t xml:space="preserve">NHS England. (2023). *Optometric Scope Expansion Impact Assessment*. London.</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France Paris</dc:title>
  <dc:creator/>
  <dc:language>en</dc:language>
  <cp:keywords/>
  <dcterms:created xsi:type="dcterms:W3CDTF">2025-12-10T21:30:47Z</dcterms:created>
  <dcterms:modified xsi:type="dcterms:W3CDTF">2025-12-10T21:30:47Z</dcterms:modified>
</cp:coreProperties>
</file>

<file path=docProps/custom.xml><?xml version="1.0" encoding="utf-8"?>
<Properties xmlns="http://schemas.openxmlformats.org/officeDocument/2006/custom-properties" xmlns:vt="http://schemas.openxmlformats.org/officeDocument/2006/docPropsVTypes"/>
</file>