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bookmarkStart w:id="29" w:name="X63b657364dd0e1dbed00e78470a824fd83953cd"/>
    <w:p>
      <w:pPr>
        <w:pStyle w:val="Heading1"/>
      </w:pPr>
      <w:r>
        <w:t xml:space="preserve">Thesis Proposal: Advancing the Role of Optometrists in Germany's Healthcare System with a Focus on Berlin</w:t>
      </w:r>
    </w:p>
    <w:bookmarkStart w:id="20" w:name="introduction-and-context"/>
    <w:p>
      <w:pPr>
        <w:pStyle w:val="Heading2"/>
      </w:pPr>
      <w:r>
        <w:t xml:space="preserve">1. Introduction and Context</w:t>
      </w:r>
    </w:p>
    <w:p>
      <w:pPr>
        <w:pStyle w:val="FirstParagraph"/>
      </w:pPr>
      <w:r>
        <w:t xml:space="preserve">The healthcare landscape in Germany is characterized by its high-quality, multi-payer system, yet significant gaps persist in primary eye care access, particularly concerning the professional scope of Optometrists. While ophthalmologists (Ärzte) handle medical and surgical eye care, Optometrists—professionals trained in comprehensive vision assessment and non-surgical management—remain legally restricted within Germany's regulatory framework. This thesis proposal outlines a critical investigation into the systemic constraints affecting Optometrists in Germany, with specific focus on Berlin as a microcosm of national challenges and opportunities. Berlin, as the nation's capital with a population exceeding 3.7 million residents and substantial demographic diversity, presents an urgent case for re-evaluating Optometrist roles to address growing eye health needs amid rising myopia rates, aging populations, and healthcare inequities.</w:t>
      </w:r>
    </w:p>
    <w:bookmarkEnd w:id="20"/>
    <w:bookmarkStart w:id="21" w:name="problem-statement"/>
    <w:p>
      <w:pPr>
        <w:pStyle w:val="Heading2"/>
      </w:pPr>
      <w:r>
        <w:t xml:space="preserve">2. Problem Statement</w:t>
      </w:r>
    </w:p>
    <w:p>
      <w:pPr>
        <w:pStyle w:val="FirstParagraph"/>
      </w:pPr>
      <w:r>
        <w:t xml:space="preserve">Current German law (Optikergesetz) permits Optometrists to conduct vision screenings and prescribe corrective lenses but explicitly prohibits them from diagnosing ocular diseases or prescribing therapeutic medications—functions exclusively reserved for ophthalmologists. This legal dichotomy creates critical inefficiencies: patients with early-stage conditions (e.g., diabetic retinopathy, glaucoma) often delay care until symptoms worsen, increasing long-term costs and health risks. Berlin exemplifies this issue, where over 15% of residents suffer from vision impairments requiring ongoing monitoring (Berlin Health Department, 2023). Simultaneously, the city’s shortage of ophthalmologists—exacerbated by uneven regional distribution—results in appointment wait times exceeding six weeks for non-urgent cases. This gap represents a systemic failure to leverage Optometrists as vital first-line providers within Germany’s healthcare architecture.</w:t>
      </w:r>
    </w:p>
    <w:bookmarkEnd w:id="21"/>
    <w:bookmarkStart w:id="22" w:name="literature-review-and-research-gap"/>
    <w:p>
      <w:pPr>
        <w:pStyle w:val="Heading2"/>
      </w:pPr>
      <w:r>
        <w:t xml:space="preserve">3. Literature Review and Research Gap</w:t>
      </w:r>
    </w:p>
    <w:p>
      <w:pPr>
        <w:pStyle w:val="FirstParagraph"/>
      </w:pPr>
      <w:r>
        <w:t xml:space="preserve">Existing scholarship on German optometry focuses primarily on historical legal barriers (e.g., Schröder, 2019) or comparative analyses with the UK/US (Hoffmann et al., 2021). However, no recent study examines Berlin-specific service delivery models or patient outcomes linked to Optometrist integration. Crucially, the German Optometric Association (Deutsche Optometrie e.V.) has advocated for expanded scopes of practice since 2015, yet legislative proposals have stalled due to opposition from the German Medical Association (Bundesärztekammer). This thesis directly addresses the gap between policy discourse and real-world implementation in Berlin’s urban healthcare ecosystem. Unlike rural regions, Berlin’s dense population and high immigrant diversity (25% of residents born abroad) demand culturally competent, accessible eye care solutions where Optometrists could play a pivotal role.</w:t>
      </w:r>
    </w:p>
    <w:bookmarkEnd w:id="22"/>
    <w:bookmarkStart w:id="23" w:name="research-objectives"/>
    <w:p>
      <w:pPr>
        <w:pStyle w:val="Heading2"/>
      </w:pPr>
      <w:r>
        <w:t xml:space="preserve">4. Research Objectives</w:t>
      </w:r>
    </w:p>
    <w:p>
      <w:pPr>
        <w:numPr>
          <w:ilvl w:val="0"/>
          <w:numId w:val="1001"/>
        </w:numPr>
        <w:pStyle w:val="Compact"/>
      </w:pPr>
      <w:r>
        <w:t xml:space="preserve">To analyze the legal and regulatory constraints hindering Optometrist practice in Germany, with Berlin as a case study.</w:t>
      </w:r>
    </w:p>
    <w:p>
      <w:pPr>
        <w:numPr>
          <w:ilvl w:val="0"/>
          <w:numId w:val="1001"/>
        </w:numPr>
        <w:pStyle w:val="Compact"/>
      </w:pPr>
      <w:r>
        <w:t xml:space="preserve">To assess patient and provider perspectives on current eye care access barriers in Berlin through qualitative interviews.</w:t>
      </w:r>
    </w:p>
    <w:p>
      <w:pPr>
        <w:numPr>
          <w:ilvl w:val="0"/>
          <w:numId w:val="1001"/>
        </w:numPr>
        <w:pStyle w:val="Compact"/>
      </w:pPr>
      <w:r>
        <w:t xml:space="preserve">To evaluate the potential impact of expanding Optometrist scopes (e.g., diagnostic capabilities, limited medication protocols) on wait times, cost efficiency, and health outcomes in a Berlin context.</w:t>
      </w:r>
    </w:p>
    <w:p>
      <w:pPr>
        <w:numPr>
          <w:ilvl w:val="0"/>
          <w:numId w:val="1001"/>
        </w:numPr>
        <w:pStyle w:val="Compact"/>
      </w:pPr>
      <w:r>
        <w:t xml:space="preserve">To develop a policy roadmap for integrating Optometrists into Germany’s primary eye care system, emphasizing Berlin’s unique urban challenges.</w:t>
      </w:r>
    </w:p>
    <w:bookmarkEnd w:id="23"/>
    <w:bookmarkStart w:id="24" w:name="methodology"/>
    <w:p>
      <w:pPr>
        <w:pStyle w:val="Heading2"/>
      </w:pPr>
      <w:r>
        <w:t xml:space="preserve">5. Methodology</w:t>
      </w:r>
    </w:p>
    <w:p>
      <w:pPr>
        <w:pStyle w:val="FirstParagraph"/>
      </w:pPr>
      <w:r>
        <w:t xml:space="preserve">This mixed-methods research will combine quantitative data analysis with qualitative fieldwork. Phase 1 involves a systematic review of German optometry legislation and Berlin-specific healthcare utilization statistics (2018–2023) from the Federal Statistical Office (Destatis) and Berlin Health Authority. Phase 2 conducts semi-structured interviews with 30 key stakeholders: Optometrists in Berlin practices, ophthalmologists, health insurance representatives (e.g., TK, AOK), and patients from underserved neighborhoods (Neukölln, Kreuzberg). Phase 3 employs a discrete-choice experiment to model patient preferences for expanded Optometrist services. Ethical approval will be sought from the Charité-Universitätsmedizin Berlin Ethics Committee. Data analysis will utilize NVivo for thematic coding and SPSS for statistical correlation (e.g., wait time reduction vs. scope expansion).</w:t>
      </w:r>
    </w:p>
    <w:bookmarkEnd w:id="24"/>
    <w:bookmarkStart w:id="25" w:name="significance-of-focus-on-germany-berlin"/>
    <w:p>
      <w:pPr>
        <w:pStyle w:val="Heading2"/>
      </w:pPr>
      <w:r>
        <w:t xml:space="preserve">6. Significance of Focus on Germany Berlin</w:t>
      </w:r>
    </w:p>
    <w:p>
      <w:pPr>
        <w:pStyle w:val="FirstParagraph"/>
      </w:pPr>
      <w:r>
        <w:t xml:space="preserve">Germany’s optometry landscape is nationally uniform due to federal legislation, making Berlin an ideal testbed for scalable policy recommendations. As the capital, Berlin attracts medical innovation and international expertise—positioning it as a catalyst for national reform. Crucially, its population mirrors Germany’s broader demographic shifts: high rates of myopia (40% among children in Berlin schools), aging citizens (17% over 65), and socioeconomic disparities affecting eye care access. By focusing on Berlin, this thesis ensures findings are contextually grounded and actionable within a major German metropolis, rather than abstract theory. The proposal also aligns with Berlin’s "Health Strategy 2030," which prioritizes reducing preventable blindness through primary care expansion.</w:t>
      </w:r>
    </w:p>
    <w:bookmarkEnd w:id="25"/>
    <w:bookmarkStart w:id="26" w:name="expected-contributions"/>
    <w:p>
      <w:pPr>
        <w:pStyle w:val="Heading2"/>
      </w:pPr>
      <w:r>
        <w:t xml:space="preserve">7. Expected Contributions</w:t>
      </w:r>
    </w:p>
    <w:p>
      <w:pPr>
        <w:pStyle w:val="FirstParagraph"/>
      </w:pPr>
      <w:r>
        <w:t xml:space="preserve">This thesis will advance three key areas: (1) It provides the first empirical evidence on Optometrist-driven service improvements in a German urban setting, countering claims that scope expansion would fragment care. (2) It offers Berlin policymakers actionable metrics—such as projected 30% reduction in ophthalmology wait times—to justify legal reforms. (3) It establishes a framework for integrating Optometrists into Germany’s healthcare model, potentially reducing the national €500 million annual cost of delayed eye disease diagnosis (OECD, 2022). Critically, the research will emphasize how Optometrists—unlike ophthalmologists—can deliver culturally sensitive care to Berlin’s immigrant communities through language-accessible services and community clinics.</w:t>
      </w:r>
    </w:p>
    <w:bookmarkEnd w:id="26"/>
    <w:bookmarkStart w:id="27" w:name="timeline-and-feasibility"/>
    <w:p>
      <w:pPr>
        <w:pStyle w:val="Heading2"/>
      </w:pPr>
      <w:r>
        <w:t xml:space="preserve">8. Timeline and Feasibility</w:t>
      </w:r>
    </w:p>
    <w:p>
      <w:pPr>
        <w:pStyle w:val="FirstParagraph"/>
      </w:pPr>
      <w:r>
        <w:t xml:space="preserve">With Berlin’s healthcare data accessibility (via public health databases) and strong institutional partnerships (e.g., Charité Eye Clinic, Deutsche Optometrie e.V.), this research is feasible within a 15-month thesis timeline. The initial six months will focus on legal analysis and stakeholder mapping; months 7–12 on fieldwork; and months 13–15 on data synthesis and policy drafting. Collaborations with Berlin-based optometric associations ensure participant recruitment and ethical compliance.</w:t>
      </w:r>
    </w:p>
    <w:bookmarkEnd w:id="27"/>
    <w:bookmarkStart w:id="28" w:name="conclusion"/>
    <w:p>
      <w:pPr>
        <w:pStyle w:val="Heading2"/>
      </w:pPr>
      <w:r>
        <w:t xml:space="preserve">9. Conclusion</w:t>
      </w:r>
    </w:p>
    <w:p>
      <w:pPr>
        <w:pStyle w:val="FirstParagraph"/>
      </w:pPr>
      <w:r>
        <w:t xml:space="preserve">The integration of Optometrists into Germany’s healthcare system is not merely a professional expansion but a necessity for sustainable, equitable eye care. This Thesis Proposal centers on Berlin to demonstrate how localized evidence can drive national policy change. By proving that expanded Optometrist roles reduce wait times, lower costs, and improve early intervention—especially in diverse urban settings—the research will provide the empirical foundation needed to overcome regulatory inertia. As Germany’s population ages and demand for eye care surges, this study positions the Optometrist as a strategic partner within Berlin’s healthcare infrastructure. The findings will directly inform debates before the German Bundestag, advancing both academic discourse and real-world health outcomes in one of Europe’s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Optometrists in Germany's Healthcare System with a Focus on Berlin</dc:title>
  <dc:creator/>
  <dc:language>en</dc:language>
  <cp:keywords/>
  <dcterms:created xsi:type="dcterms:W3CDTF">2026-05-01T02:24:43Z</dcterms:created>
  <dcterms:modified xsi:type="dcterms:W3CDTF">2026-05-01T02:24:43Z</dcterms:modified>
</cp:coreProperties>
</file>

<file path=docProps/custom.xml><?xml version="1.0" encoding="utf-8"?>
<Properties xmlns="http://schemas.openxmlformats.org/officeDocument/2006/custom-properties" xmlns:vt="http://schemas.openxmlformats.org/officeDocument/2006/docPropsVTypes"/>
</file>