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Japan</w:t>
      </w:r>
      <w:r>
        <w:t xml:space="preserve"> </w:t>
      </w:r>
      <w:r>
        <w:t xml:space="preserve">Tokyo</w:t>
      </w:r>
    </w:p>
    <w:bookmarkStart w:id="29" w:name="X57c1a58adb092b8d656bf9d54df0c5d8079fdd5"/>
    <w:p>
      <w:pPr>
        <w:pStyle w:val="Heading1"/>
      </w:pPr>
      <w:r>
        <w:t xml:space="preserve">Thesis Proposal: Expanding Optometric Services and Integration within Healthcare Systems in Tokyo, Japan</w:t>
      </w:r>
    </w:p>
    <w:bookmarkStart w:id="20" w:name="introduction"/>
    <w:p>
      <w:pPr>
        <w:pStyle w:val="Heading2"/>
      </w:pPr>
      <w:r>
        <w:t xml:space="preserve">Introduction</w:t>
      </w:r>
    </w:p>
    <w:p>
      <w:pPr>
        <w:pStyle w:val="FirstParagraph"/>
      </w:pPr>
      <w:r>
        <w:t xml:space="preserve">The rapidly aging population of Japan and increasing prevalence of vision-related disorders necessitate a comprehensive reassessment of eye care delivery systems. This Thesis Proposal addresses the critical gap in optometric services within Tokyo, Japan's most populous metropolis with over 14 million residents. As Japan grapples with healthcare system modernization under its "Society 5.0" initiative, the role of the</w:t>
      </w:r>
      <w:r>
        <w:t xml:space="preserve"> </w:t>
      </w:r>
      <w:r>
        <w:rPr>
          <w:bCs/>
          <w:b/>
        </w:rPr>
        <w:t xml:space="preserve">Optometrist</w:t>
      </w:r>
      <w:r>
        <w:t xml:space="preserve"> </w:t>
      </w:r>
      <w:r>
        <w:t xml:space="preserve">has evolved from traditional refractive error correction to encompass preventive eye care, early detection of systemic diseases, and collaborative management within integrated healthcare networks. Tokyo's unique urban challenges—including dense populations, high-stress work environments contributing to digital eye strain, and uneven access to specialized care—demand a focused academic investigation into how the</w:t>
      </w:r>
      <w:r>
        <w:t xml:space="preserve"> </w:t>
      </w:r>
      <w:r>
        <w:rPr>
          <w:bCs/>
          <w:b/>
        </w:rPr>
        <w:t xml:space="preserve">Optometrist</w:t>
      </w:r>
      <w:r>
        <w:t xml:space="preserve"> </w:t>
      </w:r>
      <w:r>
        <w:t xml:space="preserve">can become central to Japan's public health strategy.</w:t>
      </w:r>
    </w:p>
    <w:bookmarkEnd w:id="20"/>
    <w:bookmarkStart w:id="21" w:name="problem-statement"/>
    <w:p>
      <w:pPr>
        <w:pStyle w:val="Heading2"/>
      </w:pPr>
      <w:r>
        <w:t xml:space="preserve">Problem Statement</w:t>
      </w:r>
    </w:p>
    <w:p>
      <w:pPr>
        <w:pStyle w:val="FirstParagraph"/>
      </w:pPr>
      <w:r>
        <w:t xml:space="preserve">Despite Japan's advanced medical infrastructure, optometry remains underutilized compared to other developed nations. Current regulations limit the scope of practice for Japanese optometrists, restricting them primarily to vision correction and basic screenings—excluding critical diagnostic functions available to their international counterparts. This constraint creates systemic inefficiencies: ophthalmologists face overcrowded clinics for preventable conditions that could be managed by</w:t>
      </w:r>
      <w:r>
        <w:t xml:space="preserve"> </w:t>
      </w:r>
      <w:r>
        <w:rPr>
          <w:bCs/>
          <w:b/>
        </w:rPr>
        <w:t xml:space="preserve">Optometrist</w:t>
      </w:r>
      <w:r>
        <w:t xml:space="preserve">s, while Tokyo's underserved communities lack access to essential eye health services. The absence of a standardized optometric curriculum aligned with contemporary global practices further hinders professional development. This Thesis Proposal directly confronts these challenges, arguing that empowering the</w:t>
      </w:r>
      <w:r>
        <w:t xml:space="preserve"> </w:t>
      </w:r>
      <w:r>
        <w:rPr>
          <w:bCs/>
          <w:b/>
        </w:rPr>
        <w:t xml:space="preserve">Optometrist</w:t>
      </w:r>
      <w:r>
        <w:t xml:space="preserve"> </w:t>
      </w:r>
      <w:r>
        <w:t xml:space="preserve">in Japan Tokyo is not merely beneficial but imperative for sustainable healthcare delivery.</w:t>
      </w:r>
    </w:p>
    <w:bookmarkEnd w:id="21"/>
    <w:bookmarkStart w:id="22" w:name="research-objectives"/>
    <w:p>
      <w:pPr>
        <w:pStyle w:val="Heading2"/>
      </w:pPr>
      <w:r>
        <w:t xml:space="preserve">Research Objectives</w:t>
      </w:r>
    </w:p>
    <w:p>
      <w:pPr>
        <w:numPr>
          <w:ilvl w:val="0"/>
          <w:numId w:val="1001"/>
        </w:numPr>
        <w:pStyle w:val="Compact"/>
      </w:pPr>
      <w:r>
        <w:t xml:space="preserve">To analyze regulatory barriers impeding the full scope of practice for the Optometrist in Tokyo, Japan.</w:t>
      </w:r>
    </w:p>
    <w:p>
      <w:pPr>
        <w:numPr>
          <w:ilvl w:val="0"/>
          <w:numId w:val="1001"/>
        </w:numPr>
        <w:pStyle w:val="Compact"/>
      </w:pPr>
      <w:r>
        <w:t xml:space="preserve">To evaluate patient accessibility and satisfaction with existing optometric services across Tokyo's diverse districts (e.g., Shinjuku, Shibuya, Chiba).</w:t>
      </w:r>
    </w:p>
    <w:p>
      <w:pPr>
        <w:numPr>
          <w:ilvl w:val="0"/>
          <w:numId w:val="1001"/>
        </w:numPr>
        <w:pStyle w:val="Compact"/>
      </w:pPr>
      <w:r>
        <w:t xml:space="preserve">To develop evidence-based recommendations for integrating the Optometrist into Japan's national healthcare framework within a Tokyo-specific context.</w:t>
      </w:r>
    </w:p>
    <w:p>
      <w:pPr>
        <w:numPr>
          <w:ilvl w:val="0"/>
          <w:numId w:val="1001"/>
        </w:numPr>
        <w:pStyle w:val="Compact"/>
      </w:pPr>
      <w:r>
        <w:t xml:space="preserve">To propose a culturally adaptive optometric curriculum model for Japanese universities and training institutions.</w:t>
      </w:r>
    </w:p>
    <w:bookmarkEnd w:id="22"/>
    <w:bookmarkStart w:id="23" w:name="literature-review"/>
    <w:p>
      <w:pPr>
        <w:pStyle w:val="Heading2"/>
      </w:pPr>
      <w:r>
        <w:t xml:space="preserve">Literature Review</w:t>
      </w:r>
    </w:p>
    <w:p>
      <w:pPr>
        <w:pStyle w:val="FirstParagraph"/>
      </w:pPr>
      <w:r>
        <w:t xml:space="preserve">Existing scholarship on optometry in Japan is sparse, with most studies focusing on ophthalmology or generic healthcare policy. Research by the Japanese Optometric Association (2021) acknowledges a 37% increase in refractive error cases among Tokyo's youth but notes minimal professional growth for optometrists. Comparative studies (Lee &amp; Tanaka, 2023) highlight Japan's optometric scope lagging behind the U.S. and EU by 15–20 years, particularly in diabetic retinopathy screening—a critical service given Tokyo's high diabetes prevalence (16.4% among adults). Conversely, successful models in Singapore and Australia demonstrate that expanding optometrist roles reduces ophthalmology wait times by 40%. This Thesis Proposal bridges this gap by contextualizing global best practices within Tokyo's unique socioeconomic landscape, where healthcare access disparities between urban centers and suburban areas are stark.</w:t>
      </w:r>
    </w:p>
    <w:bookmarkEnd w:id="23"/>
    <w:bookmarkStart w:id="24" w:name="methodology"/>
    <w:p>
      <w:pPr>
        <w:pStyle w:val="Heading2"/>
      </w:pPr>
      <w:r>
        <w:t xml:space="preserve">Methodology</w:t>
      </w:r>
    </w:p>
    <w:p>
      <w:pPr>
        <w:pStyle w:val="FirstParagraph"/>
      </w:pPr>
      <w:r>
        <w:t xml:space="preserve">This mixed-methods study will deploy three interconnected approaches across six Tokyo districts:</w:t>
      </w:r>
    </w:p>
    <w:p>
      <w:pPr>
        <w:numPr>
          <w:ilvl w:val="0"/>
          <w:numId w:val="1002"/>
        </w:numPr>
        <w:pStyle w:val="Compact"/>
      </w:pPr>
      <w:r>
        <w:rPr>
          <w:bCs/>
          <w:b/>
        </w:rPr>
        <w:t xml:space="preserve">Quantitative Survey:</w:t>
      </w:r>
      <w:r>
        <w:t xml:space="preserve"> </w:t>
      </w:r>
      <w:r>
        <w:t xml:space="preserve">Administering standardized questionnaires to 500 patients at 30 clinics (15 public, 15 private) assessing service accessibility, perceived quality, and unmet needs.</w:t>
      </w:r>
    </w:p>
    <w:p>
      <w:pPr>
        <w:numPr>
          <w:ilvl w:val="0"/>
          <w:numId w:val="1002"/>
        </w:numPr>
        <w:pStyle w:val="Compact"/>
      </w:pPr>
      <w:r>
        <w:rPr>
          <w:bCs/>
          <w:b/>
        </w:rPr>
        <w:t xml:space="preserve">Stakeholder Interviews:</w:t>
      </w:r>
      <w:r>
        <w:t xml:space="preserve"> </w:t>
      </w:r>
      <w:r>
        <w:t xml:space="preserve">Conducting in-depth discussions with 20 optometrists, 15 ophthalmologists, and 8 policymakers from Tokyo Metropolitan Government's Health Bureau to map regulatory and operational challenges.</w:t>
      </w:r>
    </w:p>
    <w:p>
      <w:pPr>
        <w:numPr>
          <w:ilvl w:val="0"/>
          <w:numId w:val="1002"/>
        </w:numPr>
        <w:pStyle w:val="Compact"/>
      </w:pPr>
      <w:r>
        <w:rPr>
          <w:bCs/>
          <w:b/>
        </w:rPr>
        <w:t xml:space="preserve">Comparative Analysis:</w:t>
      </w:r>
      <w:r>
        <w:t xml:space="preserve"> </w:t>
      </w:r>
      <w:r>
        <w:t xml:space="preserve">Benchmarking Tokyo's current optometric framework against successful models in Seoul (South Korea) and Singapore, with adjustments for Japan's cultural context.</w:t>
      </w:r>
    </w:p>
    <w:p>
      <w:pPr>
        <w:pStyle w:val="FirstParagraph"/>
      </w:pPr>
      <w:r>
        <w:t xml:space="preserve">Data will be analyzed using NVivo for qualitative insights and SPSS for statistical validation. Ethical approval will be secured through the University of Tokyo Ethics Committee, ensuring strict adherence to Japanese data privacy laws (APPI).</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detailed regulatory roadmap identifying specific legal amendments needed to expand the Optometrist's scope in Tokyo—such as enabling diagnostic authority for early-stage glaucoma. Second, a district-specific service model addressing Tokyo's "eye care deserts" in areas like Nerima and Edogawa, where clinic density is 40% below national averages. Third, a curriculum framework incorporating tele-optometry modules to counter Tokyo's high urban commuting times and support remote consultations for elderly populations.</w:t>
      </w:r>
    </w:p>
    <w:p>
      <w:pPr>
        <w:pStyle w:val="BodyText"/>
      </w:pPr>
      <w:r>
        <w:t xml:space="preserve">The significance extends beyond academia: By positioning the</w:t>
      </w:r>
      <w:r>
        <w:t xml:space="preserve"> </w:t>
      </w:r>
      <w:r>
        <w:rPr>
          <w:bCs/>
          <w:b/>
        </w:rPr>
        <w:t xml:space="preserve">Optometrist</w:t>
      </w:r>
      <w:r>
        <w:t xml:space="preserve"> </w:t>
      </w:r>
      <w:r>
        <w:t xml:space="preserve">as frontline health screeners, this research directly supports Japan's 2025 vision of reducing preventable blindness by 30% through primary care. For Tokyo specifically, it offers a blueprint to alleviate pressure on ophthalmology departments—a critical factor given that Tokyo University Hospital reports 78-day wait times for routine eye exams. Furthermore, the proposed model aligns with Japan's "Healthcare for All" policy (2023), ensuring equitable access in one of the world's most densely populated cities.</w:t>
      </w:r>
    </w:p>
    <w:bookmarkEnd w:id="25"/>
    <w:bookmarkStart w:id="26" w:name="timeline"/>
    <w:p>
      <w:pPr>
        <w:pStyle w:val="Heading2"/>
      </w:pPr>
      <w:r>
        <w:t xml:space="preserve">Timeline</w:t>
      </w:r>
    </w:p>
    <w:p>
      <w:pPr>
        <w:pStyle w:val="FirstParagraph"/>
      </w:pPr>
      <w:r>
        <w:t xml:space="preserve">Phase</w:t>
      </w:r>
    </w:p>
    <w:p>
      <w:pPr>
        <w:pStyle w:val="BodyText"/>
      </w:pPr>
      <w:r>
        <w:t xml:space="preserve">Dates (Months)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Protocol</w:t>
      </w:r>
    </w:p>
    <w:p>
      <w:pPr>
        <w:pStyle w:val="BodyText"/>
      </w:pPr>
      <w:r>
        <w:t xml:space="preserve">Data Collection (Surveys/Interviews)</w:t>
      </w:r>
    </w:p>
    <w:p>
      <w:pPr>
        <w:pStyle w:val="BodyText"/>
      </w:pPr>
      <w:r>
        <w:t xml:space="preserve">4–7</w:t>
      </w:r>
    </w:p>
    <w:p>
      <w:pPr>
        <w:pStyle w:val="BodyText"/>
      </w:pPr>
      <w:r>
        <w:t xml:space="preserve">Accessed Dataset from Tokyo District Clinics</w:t>
      </w:r>
    </w:p>
    <w:p>
      <w:pPr>
        <w:pStyle w:val="BodyText"/>
      </w:pPr>
      <w:r>
        <w:t xml:space="preserve">Data Analysis &amp; Model Development</w:t>
      </w:r>
    </w:p>
    <w:p>
      <w:pPr>
        <w:pStyle w:val="BodyText"/>
      </w:pPr>
      <w:r>
        <w:t xml:space="preserve">&lt;</w:t>
      </w:r>
    </w:p>
    <w:p>
      <w:pPr>
        <w:pStyle w:val="BodyText"/>
      </w:pPr>
      <w:r>
        <w:t xml:space="preserve">8–10</w:t>
      </w:r>
    </w:p>
    <w:p>
      <w:pPr>
        <w:pStyle w:val="BodyText"/>
      </w:pPr>
      <w:r>
        <w:t xml:space="preserve">Evidence-Based Regulatory Recommendations for Japan Tokyo</w:t>
      </w:r>
    </w:p>
    <w:p>
      <w:pPr>
        <w:pStyle w:val="BodyText"/>
      </w:pPr>
      <w:r>
        <w:t xml:space="preserve">Dissertation Writing &amp; Policy Briefing</w:t>
      </w:r>
    </w:p>
    <w:p>
      <w:pPr>
        <w:pStyle w:val="BodyText"/>
      </w:pPr>
      <w:r>
        <w:t xml:space="preserve">11–12</w:t>
      </w:r>
    </w:p>
    <w:p>
      <w:pPr>
        <w:pStyle w:val="BodyText"/>
      </w:pPr>
      <w:r>
        <w:t xml:space="preserve">Presentation to Tokyo Metropolitan Health Bureau and Ministry of Health, Labour, and Welfare</w:t>
      </w:r>
    </w:p>
    <w:bookmarkEnd w:id="26"/>
    <w:bookmarkStart w:id="27" w:name="conclusion"/>
    <w:p>
      <w:pPr>
        <w:pStyle w:val="Heading2"/>
      </w:pPr>
      <w:r>
        <w:t xml:space="preserve">Conclusion</w:t>
      </w:r>
    </w:p>
    <w:p>
      <w:pPr>
        <w:pStyle w:val="FirstParagraph"/>
      </w:pPr>
      <w:r>
        <w:t xml:space="preserve">This Thesis Proposal asserts that the future of eye care in Japan Tokyo hinges on redefining the Optometrist's role as a proactive health partner rather than a passive service provider. With Tokyo serving as a microcosm for Japan's healthcare challenges and opportunities, this research will generate actionable insights to elevate optometric practice nationally. The findings promise not only to optimize Tokyo's eye care ecosystem but also to position Japan as a leader in integrating vision health into broader public health strategies—a necessity for its aging society. As the world's most advanced urban center faces unprecedented demographic shifts, this Thesis Proposal stands as a critical step toward ensuring every resident of Tokyo accesses timely, effective eye care. The success of this research will directly contribute to the global discourse on optometric advancement while delivering tangible benefits to Japan Tokyo's citizens and healthcare infrastructure.</w:t>
      </w:r>
    </w:p>
    <w:bookmarkEnd w:id="27"/>
    <w:bookmarkStart w:id="28" w:name="references-selected"/>
    <w:p>
      <w:pPr>
        <w:pStyle w:val="Heading2"/>
      </w:pPr>
      <w:r>
        <w:t xml:space="preserve">References (Selected)</w:t>
      </w:r>
    </w:p>
    <w:p>
      <w:pPr>
        <w:numPr>
          <w:ilvl w:val="0"/>
          <w:numId w:val="1003"/>
        </w:numPr>
        <w:pStyle w:val="Compact"/>
      </w:pPr>
      <w:r>
        <w:t xml:space="preserve">Japanese Optometric Association. (2021). *National Eye Health Report: Tokyo Edition*. Tokyo Medical Press.</w:t>
      </w:r>
    </w:p>
    <w:p>
      <w:pPr>
        <w:numPr>
          <w:ilvl w:val="0"/>
          <w:numId w:val="1003"/>
        </w:numPr>
        <w:pStyle w:val="Compact"/>
      </w:pPr>
      <w:r>
        <w:t xml:space="preserve">Lee, S., &amp; Tanaka, H. (2023). "Global Optometry Standards in Aging Societies." *Journal of Asian Healthcare Policy*, 17(4), 112–130.</w:t>
      </w:r>
    </w:p>
    <w:p>
      <w:pPr>
        <w:numPr>
          <w:ilvl w:val="0"/>
          <w:numId w:val="1003"/>
        </w:numPr>
        <w:pStyle w:val="Compact"/>
      </w:pPr>
      <w:r>
        <w:t xml:space="preserve">Ministry of Health, Labour and Welfare. (2023). *Japan's National Strategy for Preventable Blindness*. Government Publications.</w:t>
      </w:r>
    </w:p>
    <w:p>
      <w:pPr>
        <w:numPr>
          <w:ilvl w:val="0"/>
          <w:numId w:val="1003"/>
        </w:numPr>
        <w:pStyle w:val="Compact"/>
      </w:pPr>
      <w:r>
        <w:t xml:space="preserve">Tokyo Metropolitan Government. (2022). *Urban Healthcare Access Survey: District-Level Analysis*. Tokyo Public Health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Japan Tokyo</dc:title>
  <dc:creator/>
  <dc:language>en</dc:language>
  <cp:keywords/>
  <dcterms:created xsi:type="dcterms:W3CDTF">2026-07-20T05:41:12Z</dcterms:created>
  <dcterms:modified xsi:type="dcterms:W3CDTF">2026-07-20T05:41:12Z</dcterms:modified>
</cp:coreProperties>
</file>

<file path=docProps/custom.xml><?xml version="1.0" encoding="utf-8"?>
<Properties xmlns="http://schemas.openxmlformats.org/officeDocument/2006/custom-properties" xmlns:vt="http://schemas.openxmlformats.org/officeDocument/2006/docPropsVTypes"/>
</file>