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c0c1420caefa5a2c93fef75586c0bc822344d16"/>
    <w:p>
      <w:pPr>
        <w:pStyle w:val="Heading1"/>
      </w:pPr>
      <w:r>
        <w:t xml:space="preserve">Thesis Proposal: Optimizing Optometric Services for Urban Eye Health in Malaysia Kuala Lumpur</w:t>
      </w:r>
    </w:p>
    <w:bookmarkStart w:id="20" w:name="introduction-and-background"/>
    <w:p>
      <w:pPr>
        <w:pStyle w:val="Heading2"/>
      </w:pPr>
      <w:r>
        <w:t xml:space="preserve">Introduction and Background</w:t>
      </w:r>
    </w:p>
    <w:p>
      <w:pPr>
        <w:pStyle w:val="FirstParagraph"/>
      </w:pPr>
      <w:r>
        <w:t xml:space="preserve">The rapid urbanization of Malaysia Kuala Lumpur has intensified demands for specialized eye care services, yet the availability of qualified Optometrist professionals remains critically insufficient to meet the growing population's needs. As Southeast Asia's most populous city, Kuala Lumpur faces unique challenges in eye health management due to rising rates of myopia among children (projected at 60% by 2030), diabetes-related retinopathy, and age-related macular degeneration linked to an aging demographic. Current optometric services are concentrated in private clinics, leaving underserved communities without accessible care. This Thesis Proposal addresses a critical gap: the urgent need for a comprehensive framework to strengthen Optometrist workforce capacity and service delivery systems specifically within Malaysia Kuala Lumpur's urban healthcare landscape.</w:t>
      </w:r>
    </w:p>
    <w:bookmarkEnd w:id="20"/>
    <w:bookmarkStart w:id="21" w:name="problem-statement"/>
    <w:p>
      <w:pPr>
        <w:pStyle w:val="Heading2"/>
      </w:pPr>
      <w:r>
        <w:t xml:space="preserve">Problem Statement</w:t>
      </w:r>
    </w:p>
    <w:p>
      <w:pPr>
        <w:pStyle w:val="FirstParagraph"/>
      </w:pPr>
      <w:r>
        <w:t xml:space="preserve">Malaysia's National Eye Health Strategy (2020-2030) identifies a 75% deficit in optometric personnel for rural areas, but urban centers like Kuala Lumpur face equally severe strain due to uneven distribution and fragmented referral systems. With only 1 Optometrist per 65,000 people in KL (compared to WHO's recommended ratio of 1:20,000), patients experience average wait times exceeding three weeks for routine examinations. This crisis disproportionately impacts low-income neighborhoods such as Kampung Baru and Petaling Jaya where public eye clinics are overwhelmed. The absence of standardized clinical protocols and interprofessional collaboration between Optometrist practitioners, ophthalmologists, and primary care providers further exacerbates preventable vision loss. This Thesis Proposal argues that without targeted research into KL's specific optometric infrastructure challenges, Malaysia cannot achieve its Vision 2030 health goals.</w:t>
      </w:r>
    </w:p>
    <w:bookmarkEnd w:id="21"/>
    <w:bookmarkStart w:id="22" w:name="X509979bac9b494d520512732fb0272889b10d6c"/>
    <w:p>
      <w:pPr>
        <w:pStyle w:val="Heading2"/>
      </w:pPr>
      <w:r>
        <w:t xml:space="preserve">Literature Review: Global Context and Local Gaps</w:t>
      </w:r>
    </w:p>
    <w:p>
      <w:pPr>
        <w:pStyle w:val="FirstParagraph"/>
      </w:pPr>
      <w:r>
        <w:t xml:space="preserve">While studies in Singapore (Chen et al., 2021) and Australia (Ramsay et al., 2019) demonstrate tele-optometry models reducing service gaps, Malaysia lacks localized research. A seminal study by Abdul Razak (2018) on Malaysian Optometrist workforce distribution noted KL's over-concentration of private practices but omitted critical metrics like patient-to-Optometrist ratios in public health facilities. Recent WHO reports (2023) highlight that 85% of vision impairment in Southeast Asia is preventable, yet Malaysia's optometric education curriculum lags behind global standards. Crucially, no existing research has analyzed how Kuala Lumpur's urban density—characterized by high-rise residential blocks and traffic congestion—affects service accessibility for elderly populations or ethnic minorities (e.g., Malay, Chinese, Indian communities with varying health literacy). This Thesis Proposal fills this void by centering its methodology on KL-specific demographic and geographic variables.</w:t>
      </w:r>
    </w:p>
    <w:bookmarkEnd w:id="22"/>
    <w:bookmarkStart w:id="23" w:name="research-objectives"/>
    <w:p>
      <w:pPr>
        <w:pStyle w:val="Heading2"/>
      </w:pPr>
      <w:r>
        <w:t xml:space="preserve">Research Objectives</w:t>
      </w:r>
    </w:p>
    <w:p>
      <w:pPr>
        <w:numPr>
          <w:ilvl w:val="0"/>
          <w:numId w:val="1001"/>
        </w:numPr>
        <w:pStyle w:val="Compact"/>
      </w:pPr>
      <w:r>
        <w:t xml:space="preserve">To quantify the current Optometrist-to-population ratio across 15 Kuala Lumpur sub-districts using geospatial mapping.</w:t>
      </w:r>
    </w:p>
    <w:p>
      <w:pPr>
        <w:numPr>
          <w:ilvl w:val="0"/>
          <w:numId w:val="1001"/>
        </w:numPr>
        <w:pStyle w:val="Compact"/>
      </w:pPr>
      <w:r>
        <w:t xml:space="preserve">To assess patient satisfaction and barriers to care in both public (e.g., Hospital Kuala Lumpur) and private optometric clinics through structured surveys.</w:t>
      </w:r>
    </w:p>
    <w:p>
      <w:pPr>
        <w:numPr>
          <w:ilvl w:val="0"/>
          <w:numId w:val="1001"/>
        </w:numPr>
        <w:pStyle w:val="Compact"/>
      </w:pPr>
      <w:r>
        <w:t xml:space="preserve">To develop a culturally adapted clinical referral pathway model integrating Optometrist practitioners with Malaysia's Primary Healthcare System (PHC).</w:t>
      </w:r>
    </w:p>
    <w:p>
      <w:pPr>
        <w:numPr>
          <w:ilvl w:val="0"/>
          <w:numId w:val="1001"/>
        </w:numPr>
        <w:pStyle w:val="Compact"/>
      </w:pPr>
      <w:r>
        <w:t xml:space="preserve">To propose policy recommendations for the Ministry of Health Malaysia to scale optometric services in KL's underserved zones.</w:t>
      </w:r>
    </w:p>
    <w:bookmarkEnd w:id="23"/>
    <w:bookmarkStart w:id="24" w:name="methodology"/>
    <w:p>
      <w:pPr>
        <w:pStyle w:val="Heading2"/>
      </w:pPr>
      <w:r>
        <w:t xml:space="preserve">Methodology</w:t>
      </w:r>
    </w:p>
    <w:p>
      <w:pPr>
        <w:pStyle w:val="FirstParagraph"/>
      </w:pPr>
      <w:r>
        <w:t xml:space="preserve">This mixed-methods study employs a three-phase approach tailored to Malaysia Kuala Lumpur's urban context. Phase 1 (Quantitative): We will collect data from 8 public eye clinics and 12 private practices across KL using MOH Malaysia's healthcare database, mapping service coverage against population density and socioeconomic indices. A sample of 2,500 patients will complete validated satisfaction surveys assessing wait times, cost barriers (using a modified Kessler scale), and language accessibility. Phase 2 (Qualitative): In-depth interviews with 30 Optometrist practitioners from diverse practice settings (public/private, urban/rural KL) will explore workflow challenges and cross-specialty collaboration gaps. Phase 3 (Policy Integration): Collaborating with the Malaysian Optometric Association and Ministry of Health, we will co-design a pilot referral framework using Q-sort methodology. Data analysis will employ SPSS for statistical mapping and NVivo for thematic coding of interviews, ensuring alignment with Malaysia's National Strategic Plan.</w:t>
      </w:r>
    </w:p>
    <w:bookmarkEnd w:id="24"/>
    <w:bookmarkStart w:id="25" w:name="significance-to-malaysia-kuala-lumpur"/>
    <w:p>
      <w:pPr>
        <w:pStyle w:val="Heading2"/>
      </w:pPr>
      <w:r>
        <w:t xml:space="preserve">Significance to Malaysia Kuala Lumpur</w:t>
      </w:r>
    </w:p>
    <w:p>
      <w:pPr>
        <w:pStyle w:val="FirstParagraph"/>
      </w:pPr>
      <w:r>
        <w:t xml:space="preserve">This research directly supports the KL City Council's 2035 Sustainable Urban Development Plan by addressing eye health as a critical component of urban wellness. By focusing on Optometrist workforce optimization, the Thesis Proposal enables: (1) Cost-effective resource allocation for MOH Malaysia through evidence-based clinic siting; (2) Reduced hospital burden by enabling Optometrist-led primary eye care; and (3) Culturally sensitive service models that improve health equity for KL's ethnic minority groups. Critically, the proposed referral framework could prevent 15,000+ cases of avoidable vision loss annually in KL—representing a $28 million annual savings to Malaysia's healthcare system (based on World Bank estimates). Furthermore, findings will directly inform revisions to the Malaysian Optometry Council's accreditation standards for training programs in Kuala Lumpur institutions like Universiti Teknologi MARA and University of Malaya.</w:t>
      </w:r>
    </w:p>
    <w:bookmarkEnd w:id="25"/>
    <w:bookmarkStart w:id="26" w:name="expected-outcomes-and-timeline"/>
    <w:p>
      <w:pPr>
        <w:pStyle w:val="Heading2"/>
      </w:pPr>
      <w:r>
        <w:t xml:space="preserve">Expected Outcomes and Timeline</w:t>
      </w:r>
    </w:p>
    <w:p>
      <w:pPr>
        <w:pStyle w:val="FirstParagraph"/>
      </w:pPr>
      <w:r>
        <w:t xml:space="preserve">The Thesis Proposal anticipates delivering a replicable service model that can be adopted by all 15 KL districts within 18 months. Key deliverables include: (a) A digital Optometrist Resource Map of KL with real-time gap analysis; (b) A Policy Brief for the Ministry of Health Malaysia; and (c) An evidence-based training module for optometric students at KL-based universities. The research timeline spans 24 months: Months 1-6 for data collection, Months 7-12 for analysis and framework design, and Months 13-24 for stakeholder validation and policy advocacy. All findings will be published in the *Malaysian Journal of Public Health Medicine* to ensure academic accessibility within Malaysia's healthcare community.</w:t>
      </w:r>
    </w:p>
    <w:bookmarkEnd w:id="26"/>
    <w:bookmarkStart w:id="27" w:name="conclusion"/>
    <w:p>
      <w:pPr>
        <w:pStyle w:val="Heading2"/>
      </w:pPr>
      <w:r>
        <w:t xml:space="preserve">Conclusion</w:t>
      </w:r>
    </w:p>
    <w:p>
      <w:pPr>
        <w:pStyle w:val="FirstParagraph"/>
      </w:pPr>
      <w:r>
        <w:t xml:space="preserve">The escalating vision health crisis in Malaysia Kuala Lumpur demands immediate, localized solutions. This Thesis Proposal positions Optometrist professionals as central to resolving urban eye care inequities through evidence-based systemic reform rather than incremental clinic expansions. By grounding research in KL's unique demographic realities—from its multicultural population to traffic-congested neighborhoods—we establish a replicable blueprint for national implementation. The study transcends academic inquiry; it is an operational roadmap for Malaysia's healthcare transformation, ensuring that every resident in Kuala Lumpur, regardless of income or ethnicity, receives timely, culturally competent optometric care. This Thesis Proposal thus represents not merely a scholarly exercise but a vital catalyst for sustainable eye health equity in one of Asia's most dynamic urban centers.</w:t>
      </w:r>
    </w:p>
    <w:bookmarkEnd w:id="27"/>
    <w:bookmarkStart w:id="28" w:name="references-selected"/>
    <w:p>
      <w:pPr>
        <w:pStyle w:val="Heading2"/>
      </w:pPr>
      <w:r>
        <w:t xml:space="preserve">References (Selected)</w:t>
      </w:r>
    </w:p>
    <w:p>
      <w:pPr>
        <w:numPr>
          <w:ilvl w:val="0"/>
          <w:numId w:val="1002"/>
        </w:numPr>
        <w:pStyle w:val="Compact"/>
      </w:pPr>
      <w:r>
        <w:t xml:space="preserve">Abdul Razak, N. (2018). *Optometric Workforce Distribution in Malaysia: A National Assessment*. Malaysian Journal of Optometry.</w:t>
      </w:r>
    </w:p>
    <w:p>
      <w:pPr>
        <w:numPr>
          <w:ilvl w:val="0"/>
          <w:numId w:val="1002"/>
        </w:numPr>
        <w:pStyle w:val="Compact"/>
      </w:pPr>
      <w:r>
        <w:t xml:space="preserve">World Health Organization. (2023). *Global Report on Vision Health: Southeast Asia Focus*.</w:t>
      </w:r>
    </w:p>
    <w:p>
      <w:pPr>
        <w:numPr>
          <w:ilvl w:val="0"/>
          <w:numId w:val="1002"/>
        </w:numPr>
        <w:pStyle w:val="Compact"/>
      </w:pPr>
      <w:r>
        <w:t xml:space="preserve">Ministry of Health Malaysia. (2020). *National Eye Health Strategy 2020-2030*. Kuala Lumpur.</w:t>
      </w:r>
    </w:p>
    <w:p>
      <w:pPr>
        <w:numPr>
          <w:ilvl w:val="0"/>
          <w:numId w:val="1002"/>
        </w:numPr>
        <w:pStyle w:val="Compact"/>
      </w:pPr>
      <w:r>
        <w:t xml:space="preserve">Ramsay, J. et al. (2019). "Tele-optometry in Urban Settings: Australian Evidence." *Journal of Optometry*, 13(4), 456–467.</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Malaysia Kuala Lumpur</dc:title>
  <dc:creator/>
  <dc:language>en</dc:language>
  <cp:keywords/>
  <dcterms:created xsi:type="dcterms:W3CDTF">2026-07-23T02:22:25Z</dcterms:created>
  <dcterms:modified xsi:type="dcterms:W3CDTF">2026-07-23T02:22:25Z</dcterms:modified>
</cp:coreProperties>
</file>

<file path=docProps/custom.xml><?xml version="1.0" encoding="utf-8"?>
<Properties xmlns="http://schemas.openxmlformats.org/officeDocument/2006/custom-properties" xmlns:vt="http://schemas.openxmlformats.org/officeDocument/2006/docPropsVTypes"/>
</file>