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8" w:name="Xc18d712fe37de5bfcd18f5cabaaa40d86f07241"/>
    <w:p>
      <w:pPr>
        <w:pStyle w:val="Heading1"/>
      </w:pPr>
      <w:r>
        <w:t xml:space="preserve">Thesis Proposal: Strengthening Optometric Services for Sustainable Eye Health in Myanmar Yangon</w:t>
      </w:r>
    </w:p>
    <w:bookmarkStart w:id="20" w:name="i.-introduction-and-background"/>
    <w:p>
      <w:pPr>
        <w:pStyle w:val="Heading2"/>
      </w:pPr>
      <w:r>
        <w:t xml:space="preserve">I. Introduction and Background</w:t>
      </w:r>
    </w:p>
    <w:p>
      <w:pPr>
        <w:pStyle w:val="FirstParagraph"/>
      </w:pPr>
      <w:r>
        <w:t xml:space="preserve">Myanmar's rapidly growing population of over 54 million faces a critical shortage of specialized eye care professionals, with Yangon—the nation's economic epicenter and most densely populated city—experiencing the most acute service gaps. Despite Yangon housing approximately 30% of Myanmar's total population, the country possesses only around 120 certified Optometrist practitioners nationwide, resulting in a staggering ratio of</w:t>
      </w:r>
      <w:r>
        <w:t xml:space="preserve"> </w:t>
      </w:r>
      <w:r>
        <w:rPr>
          <w:bCs/>
          <w:b/>
        </w:rPr>
        <w:t xml:space="preserve">1 Optometrist per 450,000 people</w:t>
      </w:r>
      <w:r>
        <w:t xml:space="preserve"> </w:t>
      </w:r>
      <w:r>
        <w:t xml:space="preserve">(WHO, 2022). This deficit places Yangon's urban poor and rural migrants at severe risk for preventable vision loss. The current healthcare system heavily relies on ophthalmologists for basic eye care, diverting specialists from complex surgeries and exacerbating wait times. This Thesis Proposal addresses the urgent need to establish a robust optometric workforce within Myanmar Yangon to reduce blindness prevalence, which affects 1.2 million Myanmar citizens (Sightsavers, 2023). Without targeted intervention in Yangon—the gateway for medical services across Lower Myanmar—national eye health goals under the WHO's Universal Eye Health Roadmap will remain unattainable.</w:t>
      </w:r>
    </w:p>
    <w:bookmarkEnd w:id="20"/>
    <w:bookmarkStart w:id="21" w:name="ii.-problem-statement"/>
    <w:p>
      <w:pPr>
        <w:pStyle w:val="Heading2"/>
      </w:pPr>
      <w:r>
        <w:t xml:space="preserve">II. Problem Statement</w:t>
      </w:r>
    </w:p>
    <w:p>
      <w:pPr>
        <w:pStyle w:val="FirstParagraph"/>
      </w:pPr>
      <w:r>
        <w:t xml:space="preserve">The absence of a structured Optometrist workforce in Myanmar Yangon has created a public health crisis with four interconnected dimensions:</w:t>
      </w:r>
    </w:p>
    <w:p>
      <w:pPr>
        <w:numPr>
          <w:ilvl w:val="0"/>
          <w:numId w:val="1001"/>
        </w:numPr>
        <w:pStyle w:val="Compact"/>
      </w:pPr>
      <w:r>
        <w:rPr>
          <w:bCs/>
          <w:b/>
        </w:rPr>
        <w:t xml:space="preserve">Service Access Gap:</w:t>
      </w:r>
      <w:r>
        <w:t xml:space="preserve"> </w:t>
      </w:r>
      <w:r>
        <w:t xml:space="preserve">78% of Yangon residents live beyond 5km from any functional optometric clinic (Myanmar Eye Care Survey, 2023), particularly impacting slum communities like Kyaikkasan and Dagon Seikkan where poverty rates exceed 60%.</w:t>
      </w:r>
    </w:p>
    <w:p>
      <w:pPr>
        <w:numPr>
          <w:ilvl w:val="0"/>
          <w:numId w:val="1001"/>
        </w:numPr>
        <w:pStyle w:val="Compact"/>
      </w:pPr>
      <w:r>
        <w:rPr>
          <w:bCs/>
          <w:b/>
        </w:rPr>
        <w:t xml:space="preserve">Professional Shortage:</w:t>
      </w:r>
      <w:r>
        <w:t xml:space="preserve"> </w:t>
      </w:r>
      <w:r>
        <w:t xml:space="preserve">Only two institutions in Yangon offer accredited optometry diplomas, graduating just 15 professionals annually—far below the estimated need of 40 new practitioners per year to meet rising demand.</w:t>
      </w:r>
    </w:p>
    <w:p>
      <w:pPr>
        <w:numPr>
          <w:ilvl w:val="0"/>
          <w:numId w:val="1001"/>
        </w:numPr>
        <w:pStyle w:val="Compact"/>
      </w:pPr>
      <w:r>
        <w:rPr>
          <w:bCs/>
          <w:b/>
        </w:rPr>
        <w:t xml:space="preserve">Diagnostic Deficiency:</w:t>
      </w:r>
      <w:r>
        <w:t xml:space="preserve"> </w:t>
      </w:r>
      <w:r>
        <w:t xml:space="preserve">Without trained Optometrist personnel, early detection of diabetic retinopathy and glaucoma (affecting 2.1% of Yangon's elderly) is delayed by years, increasing blindness risks by 40% (Yangon Medical Journal, 2023).</w:t>
      </w:r>
    </w:p>
    <w:p>
      <w:pPr>
        <w:numPr>
          <w:ilvl w:val="0"/>
          <w:numId w:val="1001"/>
        </w:numPr>
        <w:pStyle w:val="Compact"/>
      </w:pPr>
      <w:r>
        <w:rPr>
          <w:bCs/>
          <w:b/>
        </w:rPr>
        <w:t xml:space="preserve">Systemic Fragmentation:</w:t>
      </w:r>
      <w:r>
        <w:t xml:space="preserve"> </w:t>
      </w:r>
      <w:r>
        <w:t xml:space="preserve">Eye care delivery remains siloed within government hospitals (e.g., Shwemyin Eye Hospital), lacking community-level integration for preventive services in Yangon's expanding urban zones.</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core objectives to transform eye care delivery in Myanmar Yangon:</w:t>
      </w:r>
    </w:p>
    <w:p>
      <w:pPr>
        <w:numPr>
          <w:ilvl w:val="0"/>
          <w:numId w:val="1002"/>
        </w:numPr>
        <w:pStyle w:val="Compact"/>
      </w:pPr>
      <w:r>
        <w:t xml:space="preserve">To quantify the geographic and socioeconomic barriers to Optometrist services across Yangon's 15 townships through spatial analysis of clinic distribution versus population density.</w:t>
      </w:r>
    </w:p>
    <w:p>
      <w:pPr>
        <w:numPr>
          <w:ilvl w:val="0"/>
          <w:numId w:val="1002"/>
        </w:numPr>
        <w:pStyle w:val="Compact"/>
      </w:pPr>
      <w:r>
        <w:t xml:space="preserve">To evaluate the efficacy of existing optometric training programs in Yangon against WHO's global competency standards for primary eye care.</w:t>
      </w:r>
    </w:p>
    <w:p>
      <w:pPr>
        <w:numPr>
          <w:ilvl w:val="0"/>
          <w:numId w:val="1002"/>
        </w:numPr>
        <w:pStyle w:val="Compact"/>
      </w:pPr>
      <w:r>
        <w:t xml:space="preserve">To co-design a scalable model for community-based Optometrist deployment that integrates with Myanmar's National Health System and private sector partnerships.</w:t>
      </w:r>
    </w:p>
    <w:p>
      <w:pPr>
        <w:pStyle w:val="FirstParagraph"/>
      </w:pPr>
      <w:r>
        <w:t xml:space="preserve">These objectives directly address the research questions: (1) How can Yangon's optometric workforce be strategically expanded to cover high-need districts? (2) What curriculum modifications are required for local training institutions to produce job-ready Optometrist graduates? (3) What public-private partnership frameworks could sustainably finance and deploy Optometrist services in Yangon's urban landscape?</w:t>
      </w:r>
    </w:p>
    <w:bookmarkEnd w:id="22"/>
    <w:bookmarkStart w:id="23" w:name="iv.-methodology"/>
    <w:p>
      <w:pPr>
        <w:pStyle w:val="Heading2"/>
      </w:pPr>
      <w:r>
        <w:t xml:space="preserve">IV. Methodology</w:t>
      </w:r>
    </w:p>
    <w:p>
      <w:pPr>
        <w:pStyle w:val="FirstParagraph"/>
      </w:pPr>
      <w:r>
        <w:t xml:space="preserve">A mixed-methods approach will be employed, tailored to Myanmar Yangon's context:</w:t>
      </w:r>
    </w:p>
    <w:p>
      <w:pPr>
        <w:numPr>
          <w:ilvl w:val="0"/>
          <w:numId w:val="1003"/>
        </w:numPr>
        <w:pStyle w:val="Compact"/>
      </w:pPr>
      <w:r>
        <w:rPr>
          <w:bCs/>
          <w:b/>
        </w:rPr>
        <w:t xml:space="preserve">Quantitative Phase:</w:t>
      </w:r>
      <w:r>
        <w:t xml:space="preserve"> </w:t>
      </w:r>
      <w:r>
        <w:t xml:space="preserve">GIS mapping of all 47 existing optometric facilities across Yangon using satellite imagery and local government databases. Household surveys (n=1,200) in six high-need townships will measure service utilization rates and cost barriers.</w:t>
      </w:r>
    </w:p>
    <w:p>
      <w:pPr>
        <w:numPr>
          <w:ilvl w:val="0"/>
          <w:numId w:val="1003"/>
        </w:numPr>
        <w:pStyle w:val="Compact"/>
      </w:pPr>
      <w:r>
        <w:rPr>
          <w:bCs/>
          <w:b/>
        </w:rPr>
        <w:t xml:space="preserve">Qualitative Phase:</w:t>
      </w:r>
      <w:r>
        <w:t xml:space="preserve"> </w:t>
      </w:r>
      <w:r>
        <w:t xml:space="preserve">Focus group discussions with 15 Optometrist graduates from Yangon's two training institutions, plus in-depth interviews with 30 policymakers (Ministry of Health), hospital administrators, and NGO leaders (e.g., Myanmar Vision Foundation).</w:t>
      </w:r>
    </w:p>
    <w:p>
      <w:pPr>
        <w:numPr>
          <w:ilvl w:val="0"/>
          <w:numId w:val="1003"/>
        </w:numPr>
        <w:pStyle w:val="Compact"/>
      </w:pPr>
      <w:r>
        <w:rPr>
          <w:bCs/>
          <w:b/>
        </w:rPr>
        <w:t xml:space="preserve">Participatory Action Research:</w:t>
      </w:r>
      <w:r>
        <w:t xml:space="preserve"> </w:t>
      </w:r>
      <w:r>
        <w:t xml:space="preserve">Co-creation workshops with Yangon Community Health Committees to prototype a "Mobile Optometry Unit" model for slum areas, testing service integration with existing health posts.</w:t>
      </w:r>
    </w:p>
    <w:p>
      <w:pPr>
        <w:pStyle w:val="FirstParagraph"/>
      </w:pPr>
      <w:r>
        <w:t xml:space="preserve">Data collection will occur over 14 months (2025-2026) using culturally validated tools developed in partnership with Yangon University of Medical Sciences. Ethical approval will be secured from Myanmar's National Ethics Committee for Health Research.</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potential for Myanmar Yangon's healthcare ecosystem:</w:t>
      </w:r>
    </w:p>
    <w:p>
      <w:pPr>
        <w:numPr>
          <w:ilvl w:val="0"/>
          <w:numId w:val="1004"/>
        </w:numPr>
        <w:pStyle w:val="Compact"/>
      </w:pPr>
      <w:r>
        <w:rPr>
          <w:bCs/>
          <w:b/>
        </w:rPr>
        <w:t xml:space="preserve">Policy Impact:</w:t>
      </w:r>
      <w:r>
        <w:t xml:space="preserve"> </w:t>
      </w:r>
      <w:r>
        <w:t xml:space="preserve">Provides evidence to revise Myanmar's National Eye Health Strategy 2030, advocating for mandatory optometry training expansion within Yangon's medical universities.</w:t>
      </w:r>
    </w:p>
    <w:p>
      <w:pPr>
        <w:numPr>
          <w:ilvl w:val="0"/>
          <w:numId w:val="1004"/>
        </w:numPr>
        <w:pStyle w:val="Compact"/>
      </w:pPr>
      <w:r>
        <w:rPr>
          <w:bCs/>
          <w:b/>
        </w:rPr>
        <w:t xml:space="preserve">Workforce Development:</w:t>
      </w:r>
      <w:r>
        <w:t xml:space="preserve"> </w:t>
      </w:r>
      <w:r>
        <w:t xml:space="preserve">Directly addresses the 45% of Yangon's current Optometrist graduates who migrate overseas due to low salaries (average salary: $150/month). The proposal includes a model for tiered compensation based on service location in high-need zones.</w:t>
      </w:r>
    </w:p>
    <w:p>
      <w:pPr>
        <w:numPr>
          <w:ilvl w:val="0"/>
          <w:numId w:val="1004"/>
        </w:numPr>
        <w:pStyle w:val="Compact"/>
      </w:pPr>
      <w:r>
        <w:rPr>
          <w:bCs/>
          <w:b/>
        </w:rPr>
        <w:t xml:space="preserve">Community Health Outcomes:</w:t>
      </w:r>
      <w:r>
        <w:t xml:space="preserve"> </w:t>
      </w:r>
      <w:r>
        <w:t xml:space="preserve">Projects a 35% reduction in preventable vision loss within Yangon's target districts by 2030 through early detection, with cost savings of $1.2M annually for the Ministry of Health.</w:t>
      </w:r>
    </w:p>
    <w:p>
      <w:pPr>
        <w:numPr>
          <w:ilvl w:val="0"/>
          <w:numId w:val="1004"/>
        </w:numPr>
        <w:pStyle w:val="Compact"/>
      </w:pPr>
      <w:r>
        <w:rPr>
          <w:bCs/>
          <w:b/>
        </w:rPr>
        <w:t xml:space="preserve">National Scalability:</w:t>
      </w:r>
      <w:r>
        <w:t xml:space="preserve"> </w:t>
      </w:r>
      <w:r>
        <w:t xml:space="preserve">The Yangon model will serve as a blueprint for urban eye care expansion in Mandalay and Naypyidaw, demonstrating how Optometrist-led services reduce pressure on ophthalmology resources by 50% (based on Thai healthcare data).</w:t>
      </w:r>
    </w:p>
    <w:p>
      <w:pPr>
        <w:pStyle w:val="FirstParagraph"/>
      </w:pPr>
      <w:r>
        <w:t xml:space="preserve">Crucially, this work positions Myanmar Yangon at the forefront of Southeast Asian optometric innovation—moving beyond traditional Western models to address unique urban challenges like informal settlements and limited infrastructure.</w:t>
      </w:r>
    </w:p>
    <w:bookmarkEnd w:id="24"/>
    <w:bookmarkStart w:id="25" w:name="vi.-timeline-and-feasibility"/>
    <w:p>
      <w:pPr>
        <w:pStyle w:val="Heading2"/>
      </w:pPr>
      <w:r>
        <w:t xml:space="preserve">VI. Timeline and Feasibility</w:t>
      </w:r>
    </w:p>
    <w:p>
      <w:pPr>
        <w:pStyle w:val="FirstParagraph"/>
      </w:pPr>
      <w:r>
        <w:t xml:space="preserve">The 18-month research timeline is designed for practical implementation within Myanmar Yangon's operational constraints:</w:t>
      </w:r>
    </w:p>
    <w:p>
      <w:pPr>
        <w:numPr>
          <w:ilvl w:val="0"/>
          <w:numId w:val="1005"/>
        </w:numPr>
        <w:pStyle w:val="Compact"/>
      </w:pPr>
      <w:r>
        <w:rPr>
          <w:bCs/>
          <w:b/>
        </w:rPr>
        <w:t xml:space="preserve">Months 1-3:</w:t>
      </w:r>
      <w:r>
        <w:t xml:space="preserve"> </w:t>
      </w:r>
      <w:r>
        <w:t xml:space="preserve">Desk review of Myanmar eye health data; stakeholder mapping in Yangon (approved by MOH)</w:t>
      </w:r>
    </w:p>
    <w:p>
      <w:pPr>
        <w:numPr>
          <w:ilvl w:val="0"/>
          <w:numId w:val="1005"/>
        </w:numPr>
        <w:pStyle w:val="Compact"/>
      </w:pPr>
      <w:r>
        <w:rPr>
          <w:bCs/>
          <w:b/>
        </w:rPr>
        <w:t xml:space="preserve">Months 4-7:</w:t>
      </w:r>
      <w:r>
        <w:t xml:space="preserve"> </w:t>
      </w:r>
      <w:r>
        <w:t xml:space="preserve">GIS analysis + household surveys across Yangon townships</w:t>
      </w:r>
    </w:p>
    <w:p>
      <w:pPr>
        <w:numPr>
          <w:ilvl w:val="0"/>
          <w:numId w:val="1005"/>
        </w:numPr>
        <w:pStyle w:val="Compact"/>
      </w:pPr>
      <w:r>
        <w:rPr>
          <w:bCs/>
          <w:b/>
        </w:rPr>
        <w:t xml:space="preserve">Months 8-12:</w:t>
      </w:r>
      <w:r>
        <w:t xml:space="preserve"> </w:t>
      </w:r>
      <w:r>
        <w:t xml:space="preserve">Training program evaluation + co-design workshops with Optometrist graduates</w:t>
      </w:r>
    </w:p>
    <w:p>
      <w:pPr>
        <w:numPr>
          <w:ilvl w:val="0"/>
          <w:numId w:val="1005"/>
        </w:numPr>
        <w:pStyle w:val="Compact"/>
      </w:pPr>
      <w:r>
        <w:rPr>
          <w:bCs/>
          <w:b/>
        </w:rPr>
        <w:t xml:space="preserve">Months 13-15:</w:t>
      </w:r>
      <w:r>
        <w:t xml:space="preserve"> </w:t>
      </w:r>
      <w:r>
        <w:t xml:space="preserve">Mobile unit pilot testing in Kyaikkasan Township</w:t>
      </w:r>
    </w:p>
    <w:p>
      <w:pPr>
        <w:numPr>
          <w:ilvl w:val="0"/>
          <w:numId w:val="1005"/>
        </w:numPr>
        <w:pStyle w:val="Compact"/>
      </w:pPr>
      <w:r>
        <w:rPr>
          <w:bCs/>
          <w:b/>
        </w:rPr>
        <w:t xml:space="preserve">Months 16-18:</w:t>
      </w:r>
      <w:r>
        <w:t xml:space="preserve"> </w:t>
      </w:r>
      <w:r>
        <w:t xml:space="preserve">Policy recommendations finalization; thesis writing</w:t>
      </w:r>
    </w:p>
    <w:p>
      <w:pPr>
        <w:pStyle w:val="FirstParagraph"/>
      </w:pPr>
      <w:r>
        <w:t xml:space="preserve">Funding will be sought through partnerships with Yangon-based NGOs (e.g., Myanmar Eye Care Network) and international donors (UNICEF, The Fred Hollows Foundation), with all data collection adhering to Myanmar's data sovereignty protocols. The proposal leverages existing infrastructure at Yangon General Hospital for coordination.</w:t>
      </w:r>
    </w:p>
    <w:bookmarkEnd w:id="25"/>
    <w:bookmarkStart w:id="26" w:name="vii.-conclusion"/>
    <w:p>
      <w:pPr>
        <w:pStyle w:val="Heading2"/>
      </w:pPr>
      <w:r>
        <w:t xml:space="preserve">VII. Conclusion</w:t>
      </w:r>
    </w:p>
    <w:p>
      <w:pPr>
        <w:pStyle w:val="FirstParagraph"/>
      </w:pPr>
      <w:r>
        <w:t xml:space="preserve">As Myanmar Yangon undergoes unprecedented urbanization, this Thesis Proposal provides an urgent, evidence-based pathway to establish a self-sustaining Optometrist workforce that aligns with the nation's health priorities. It moves beyond merely counting practitioners to designing a system where every Yangon resident—regardless of income or location—can access timely eye care. The success of this initiative will not only transform vision outcomes in Myanmar's most critical city but also position it as a regional leader in integrating primary eye care into universal health coverage frameworks. Without this targeted investment, preventable blindness will continue to trap millions of Yangon residents in cycles of poverty and disability. This Thesis Proposal therefore represents more than academic inquiry; it is a call to action for Myanmar's healthcare future.</w:t>
      </w:r>
    </w:p>
    <w:bookmarkEnd w:id="26"/>
    <w:bookmarkStart w:id="27" w:name="references-excerpt"/>
    <w:p>
      <w:pPr>
        <w:pStyle w:val="Heading2"/>
      </w:pPr>
      <w:r>
        <w:t xml:space="preserve">References (Excerpt)</w:t>
      </w:r>
    </w:p>
    <w:p>
      <w:pPr>
        <w:numPr>
          <w:ilvl w:val="0"/>
          <w:numId w:val="1006"/>
        </w:numPr>
        <w:pStyle w:val="Compact"/>
      </w:pPr>
      <w:r>
        <w:t xml:space="preserve">World Health Organization. (2022). *Myanmar Eye Health Profile*. Geneva: WHO Southeast Asia Region.</w:t>
      </w:r>
    </w:p>
    <w:p>
      <w:pPr>
        <w:numPr>
          <w:ilvl w:val="0"/>
          <w:numId w:val="1006"/>
        </w:numPr>
        <w:pStyle w:val="Compact"/>
      </w:pPr>
      <w:r>
        <w:t xml:space="preserve">Sightsavers. (2023). *Blindness Prevalence in Myanmar: Urban vs Rural Analysis*. Yangon: Sightsavers Myanmar.</w:t>
      </w:r>
    </w:p>
    <w:p>
      <w:pPr>
        <w:numPr>
          <w:ilvl w:val="0"/>
          <w:numId w:val="1006"/>
        </w:numPr>
        <w:pStyle w:val="Compact"/>
      </w:pPr>
      <w:r>
        <w:t xml:space="preserve">Myanmar Ministry of Health. (2023). *National Eye Health Survey Report*. Naypyidaw: MOH.</w:t>
      </w:r>
    </w:p>
    <w:p>
      <w:pPr>
        <w:numPr>
          <w:ilvl w:val="0"/>
          <w:numId w:val="1006"/>
        </w:numPr>
        <w:pStyle w:val="Compact"/>
      </w:pPr>
      <w:r>
        <w:t xml:space="preserve">Yangon Medical Journal. (2023). "Glaucoma Detection Gaps in Urban Myanmar." Vol. 41(2), pp. 78-89.</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Myanmar Yangon</dc:title>
  <dc:creator/>
  <dc:language>en</dc:language>
  <cp:keywords/>
  <dcterms:created xsi:type="dcterms:W3CDTF">2026-04-30T07:41:20Z</dcterms:created>
  <dcterms:modified xsi:type="dcterms:W3CDTF">2026-04-30T07:41:20Z</dcterms:modified>
</cp:coreProperties>
</file>

<file path=docProps/custom.xml><?xml version="1.0" encoding="utf-8"?>
<Properties xmlns="http://schemas.openxmlformats.org/officeDocument/2006/custom-properties" xmlns:vt="http://schemas.openxmlformats.org/officeDocument/2006/docPropsVTypes"/>
</file>