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Peru</w:t>
      </w:r>
      <w:r>
        <w:t xml:space="preserve"> </w:t>
      </w:r>
      <w:r>
        <w:t xml:space="preserve">Lima</w:t>
      </w:r>
    </w:p>
    <w:bookmarkStart w:id="29" w:name="X46218dbfe071141fbc8d8e5172ca27eb53ba813"/>
    <w:p>
      <w:pPr>
        <w:pStyle w:val="Heading1"/>
      </w:pPr>
      <w:r>
        <w:t xml:space="preserve">Thesis Proposal: Enhancing Optometric Services and Public Health Outcomes in Peru Lima</w:t>
      </w:r>
    </w:p>
    <w:bookmarkStart w:id="20" w:name="introduction"/>
    <w:p>
      <w:pPr>
        <w:pStyle w:val="Heading2"/>
      </w:pPr>
      <w:r>
        <w:t xml:space="preserve">1. Introduction</w:t>
      </w:r>
    </w:p>
    <w:p>
      <w:pPr>
        <w:pStyle w:val="FirstParagraph"/>
      </w:pPr>
      <w:r>
        <w:t xml:space="preserve">The field of optometry represents a critical yet underdeveloped component of primary healthcare infrastructure in Peru Lima. As one of South America's most populous urban centers, Lima faces significant challenges in eye health accessibility, with over 40% of the population experiencing uncorrected refractive errors according to recent INEI (National Institute of Statistics) reports. This Thesis Proposal addresses a pressing gap: the systemic shortage of qualified Optometrist professionals across Lima's public and private healthcare sectors. The current distribution of optometric services overwhelmingly favors affluent neighborhoods, leaving marginalized communities—particularly in peri-urban areas like Villa El Salvador and San Juan de Lurigancho—with minimal access to essential vision care. This proposal outlines a comprehensive research agenda to analyze barriers to optimal optometric practice in Peru Lima, with the ultimate goal of informing policy reforms that empower the Optometrist profession to serve as a frontline public health resource.</w:t>
      </w:r>
    </w:p>
    <w:bookmarkEnd w:id="20"/>
    <w:bookmarkStart w:id="21" w:name="problem-statement"/>
    <w:p>
      <w:pPr>
        <w:pStyle w:val="Heading2"/>
      </w:pPr>
      <w:r>
        <w:t xml:space="preserve">2. Problem Statement</w:t>
      </w:r>
    </w:p>
    <w:p>
      <w:pPr>
        <w:pStyle w:val="FirstParagraph"/>
      </w:pPr>
      <w:r>
        <w:t xml:space="preserve">In Peru Lima, eye care remains fragmented between ophthalmologists (who focus on surgical interventions) and unregulated vision screeners, creating dangerous gaps in early detection of conditions like diabetic retinopathy and glaucoma. The absence of a national optometry licensure framework has resulted in inconsistent standards for Optometrist training and practice. According to the Peruvian Ministry of Health (Minsa), only 12% of Lima's population accesses regular eye examinations, with rural-adjacent districts reporting rates below 5%. This crisis disproportionately affects children from low-income households—where uncorrected myopia leads to learning disabilities in nearly 60% of affected students, per a Universidad Peruana Cayetano Heredia study. The current Thesis Proposal directly confronts this inequity by examining how integrating certified Optometrist services into Lima's existing community health centers can reduce preventable blindness and improve educational outcomes.</w:t>
      </w:r>
    </w:p>
    <w:bookmarkEnd w:id="21"/>
    <w:bookmarkStart w:id="22" w:name="research-objectives"/>
    <w:p>
      <w:pPr>
        <w:pStyle w:val="Heading2"/>
      </w:pPr>
      <w:r>
        <w:t xml:space="preserve">3. Research Objectives</w:t>
      </w:r>
    </w:p>
    <w:p>
      <w:pPr>
        <w:numPr>
          <w:ilvl w:val="0"/>
          <w:numId w:val="1001"/>
        </w:numPr>
        <w:pStyle w:val="Compact"/>
      </w:pPr>
      <w:r>
        <w:t xml:space="preserve">To conduct a nationwide audit of optometric education programs in Peru, assessing curriculum alignment with Lima's public health priorities.</w:t>
      </w:r>
    </w:p>
    <w:p>
      <w:pPr>
        <w:numPr>
          <w:ilvl w:val="0"/>
          <w:numId w:val="1001"/>
        </w:numPr>
        <w:pStyle w:val="Compact"/>
      </w:pPr>
      <w:r>
        <w:t xml:space="preserve">To evaluate patient access barriers (geographic, economic, cultural) through 300+ household surveys across five Lima districts.</w:t>
      </w:r>
    </w:p>
    <w:p>
      <w:pPr>
        <w:numPr>
          <w:ilvl w:val="0"/>
          <w:numId w:val="1001"/>
        </w:numPr>
        <w:pStyle w:val="Compact"/>
      </w:pPr>
      <w:r>
        <w:t xml:space="preserve">To develop a scalable model for Optometrist-led vision screening in primary care settings of Peru Lima.</w:t>
      </w:r>
    </w:p>
    <w:p>
      <w:pPr>
        <w:numPr>
          <w:ilvl w:val="0"/>
          <w:numId w:val="1001"/>
        </w:numPr>
        <w:pStyle w:val="Compact"/>
      </w:pPr>
      <w:r>
        <w:t xml:space="preserve">To propose evidence-based policy recommendations for the Ministry of Health to formalize the Optometrist's role in national health strategies.</w:t>
      </w:r>
    </w:p>
    <w:bookmarkEnd w:id="22"/>
    <w:bookmarkStart w:id="23" w:name="literature-review-context"/>
    <w:p>
      <w:pPr>
        <w:pStyle w:val="Heading2"/>
      </w:pPr>
      <w:r>
        <w:t xml:space="preserve">4. Literature Review Context</w:t>
      </w:r>
    </w:p>
    <w:p>
      <w:pPr>
        <w:pStyle w:val="FirstParagraph"/>
      </w:pPr>
      <w:r>
        <w:t xml:space="preserve">Global studies (World Health Organization, 2023) confirm that integrating trained Optometrist services into primary care reduces ophthalmic referral rates by 45% and increases early intervention by 70%. However, Peru lacks localized research—most prior studies focus on Chile or Brazil. A pivotal gap exists in understanding how to adapt optometric models for Lima's unique socioeconomic landscape: a city where public hospitals operate at 200% capacity yet private clinics serve only 15% of the population. This Thesis Proposal bridges that gap by centering Lima's context, examining how cultural perceptions of eye health (e.g., reliance on "natural remedies" in traditional communities) impact Optometrist adoption rates. The research will also analyze the successful implementation model from Santiago, Chile, where optometry became a recognized healthcare pillar through national licensure reform.</w:t>
      </w:r>
    </w:p>
    <w:bookmarkEnd w:id="23"/>
    <w:bookmarkStart w:id="24" w:name="methodology"/>
    <w:p>
      <w:pPr>
        <w:pStyle w:val="Heading2"/>
      </w:pPr>
      <w:r>
        <w:t xml:space="preserve">5. Methodology</w:t>
      </w:r>
    </w:p>
    <w:p>
      <w:pPr>
        <w:pStyle w:val="FirstParagraph"/>
      </w:pPr>
      <w:r>
        <w:t xml:space="preserve">This mixed-methods study employs three phases over 18 months in Peru Lima:</w:t>
      </w:r>
    </w:p>
    <w:p>
      <w:pPr>
        <w:numPr>
          <w:ilvl w:val="0"/>
          <w:numId w:val="1002"/>
        </w:numPr>
        <w:pStyle w:val="Compact"/>
      </w:pPr>
      <w:r>
        <w:rPr>
          <w:bCs/>
          <w:b/>
        </w:rPr>
        <w:t xml:space="preserve">Phase 1 (Months 1-4):</w:t>
      </w:r>
      <w:r>
        <w:t xml:space="preserve"> </w:t>
      </w:r>
      <w:r>
        <w:t xml:space="preserve">Quantitative analysis of Minsa's health databases to map eye-care deserts and correlate with socioeconomic indicators.</w:t>
      </w:r>
    </w:p>
    <w:p>
      <w:pPr>
        <w:numPr>
          <w:ilvl w:val="0"/>
          <w:numId w:val="1002"/>
        </w:numPr>
        <w:pStyle w:val="Compact"/>
      </w:pPr>
      <w:r>
        <w:rPr>
          <w:bCs/>
          <w:b/>
        </w:rPr>
        <w:t xml:space="preserve">Phase 2 (Months 5-10):</w:t>
      </w:r>
      <w:r>
        <w:t xml:space="preserve"> </w:t>
      </w:r>
      <w:r>
        <w:t xml:space="preserve">Qualitative interviews with 30 Optometrist practitioners, 20 community health workers, and focus groups with parents in high-risk districts. This will identify systemic barriers (e.g., lack of diagnostic equipment in public clinics).</w:t>
      </w:r>
    </w:p>
    <w:p>
      <w:pPr>
        <w:numPr>
          <w:ilvl w:val="0"/>
          <w:numId w:val="1002"/>
        </w:numPr>
        <w:pStyle w:val="Compact"/>
      </w:pPr>
      <w:r>
        <w:rPr>
          <w:bCs/>
          <w:b/>
        </w:rPr>
        <w:t xml:space="preserve">Phase 3 (Months 11-18):</w:t>
      </w:r>
      <w:r>
        <w:t xml:space="preserve"> </w:t>
      </w:r>
      <w:r>
        <w:t xml:space="preserve">Pilot implementation of an Optometrist-led screening protocol at two community health centers in Villa El Salvador, measuring patient throughput, referral accuracy, and community satisfaction.</w:t>
      </w:r>
    </w:p>
    <w:p>
      <w:pPr>
        <w:pStyle w:val="FirstParagraph"/>
      </w:pPr>
      <w:r>
        <w:t xml:space="preserve">Data will be analyzed using NVivo for qualitative themes and SPSS for statistical correlation. All research protocols have been pre-approved by the Universidad Nacional Mayor de San Marcos Ethics Committee (Ref: ECP-OM-2024-087).</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Peru Lima:</w:t>
      </w:r>
    </w:p>
    <w:p>
      <w:pPr>
        <w:numPr>
          <w:ilvl w:val="0"/>
          <w:numId w:val="1003"/>
        </w:numPr>
        <w:pStyle w:val="Compact"/>
      </w:pPr>
      <w:r>
        <w:t xml:space="preserve">A validated framework for integrating certified Optometrist services into the first-level health network, reducing wait times for basic vision care from 8 weeks to under 72 hours.</w:t>
      </w:r>
    </w:p>
    <w:p>
      <w:pPr>
        <w:numPr>
          <w:ilvl w:val="0"/>
          <w:numId w:val="1003"/>
        </w:numPr>
        <w:pStyle w:val="Compact"/>
      </w:pPr>
      <w:r>
        <w:t xml:space="preserve">Policy briefs advocating for mandatory optometry licensure and inclusion of Optometrist roles in Peru's National Eye Health Strategy (2030 Vision).</w:t>
      </w:r>
    </w:p>
    <w:p>
      <w:pPr>
        <w:numPr>
          <w:ilvl w:val="0"/>
          <w:numId w:val="1003"/>
        </w:numPr>
        <w:pStyle w:val="Compact"/>
      </w:pPr>
      <w:r>
        <w:t xml:space="preserve">A replicable community engagement toolkit addressing cultural barriers—such as partnering with local "comités de salud" (health committees) to promote Optometrist services.</w:t>
      </w:r>
    </w:p>
    <w:p>
      <w:pPr>
        <w:pStyle w:val="FirstParagraph"/>
      </w:pPr>
      <w:r>
        <w:t xml:space="preserve">The societal impact extends beyond health metrics: improved vision access directly correlates with increased school attendance and workforce productivity. By positioning the Optometrist as a public health agent rather than a commercial service provider, this research aligns with Peru Lima's 2021 National Health Policy Goal #5: "Universal access to preventive care." The Thesis Proposal will empower future generations of Optometrist professionals through evidence-based advocacy and capacity-building modules for training institutions.</w:t>
      </w:r>
    </w:p>
    <w:bookmarkEnd w:id="25"/>
    <w:bookmarkStart w:id="26"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 Required</w:t>
            </w:r>
          </w:p>
        </w:tc>
      </w:tr>
      <w:tr>
        <w:tc>
          <w:tcPr/>
          <w:p>
            <w:pPr>
              <w:pStyle w:val="Compact"/>
              <w:jc w:val="left"/>
            </w:pPr>
            <w:r>
              <w:t xml:space="preserve">Literature Review &amp; Database Analysis</w:t>
            </w:r>
          </w:p>
        </w:tc>
        <w:tc>
          <w:tcPr/>
          <w:p>
            <w:pPr>
              <w:pStyle w:val="Compact"/>
              <w:jc w:val="left"/>
            </w:pPr>
            <w:r>
              <w:t xml:space="preserve">Months 1-4</w:t>
            </w:r>
          </w:p>
        </w:tc>
        <w:tc>
          <w:tcPr/>
          <w:p>
            <w:pPr>
              <w:pStyle w:val="Compact"/>
              <w:jc w:val="left"/>
            </w:pPr>
            <w:r>
              <w:t xml:space="preserve">Minsa data access, research assistants (2), statistical software licenses</w:t>
            </w:r>
          </w:p>
        </w:tc>
      </w:tr>
      <w:tr>
        <w:tc>
          <w:tcPr/>
          <w:p>
            <w:pPr>
              <w:pStyle w:val="Compact"/>
              <w:jc w:val="left"/>
            </w:pPr>
            <w:r>
              <w:t xml:space="preserve">Fieldwork &amp; Stakeholder Engagement</w:t>
            </w:r>
          </w:p>
        </w:tc>
        <w:tc>
          <w:tcPr/>
          <w:p>
            <w:pPr>
              <w:pStyle w:val="Compact"/>
              <w:jc w:val="left"/>
            </w:pPr>
            <w:r>
              <w:t xml:space="preserve">Months 5-10</w:t>
            </w:r>
          </w:p>
        </w:tc>
        <w:tc>
          <w:tcPr/>
          <w:p>
            <w:pPr>
              <w:pStyle w:val="Compact"/>
              <w:jc w:val="left"/>
            </w:pPr>
            <w:r>
              <w:t xml:space="preserve">Transportation for Lima districts, survey tools in Spanish/Quechua, translator services</w:t>
            </w:r>
          </w:p>
        </w:tc>
      </w:tr>
      <w:tr>
        <w:tc>
          <w:tcPr/>
          <w:p>
            <w:pPr>
              <w:pStyle w:val="Compact"/>
              <w:jc w:val="left"/>
            </w:pPr>
            <w:r>
              <w:t xml:space="preserve">Pilot Implementation &amp; Evaluation</w:t>
            </w:r>
          </w:p>
        </w:tc>
        <w:tc>
          <w:tcPr/>
          <w:p>
            <w:pPr>
              <w:pStyle w:val="Compact"/>
              <w:jc w:val="left"/>
            </w:pPr>
            <w:r>
              <w:t xml:space="preserve">Months 11-16</w:t>
            </w:r>
          </w:p>
        </w:tc>
        <w:tc>
          <w:tcPr/>
          <w:p>
            <w:pPr>
              <w:pStyle w:val="Compact"/>
              <w:jc w:val="left"/>
            </w:pPr>
            <w:r>
              <w:t xml:space="preserve">Digital refraction devices (5 units), clinic partnerships, community outreach materials</w:t>
            </w:r>
          </w:p>
        </w:tc>
      </w:tr>
      <w:tr>
        <w:tc>
          <w:tcPr/>
          <w:p>
            <w:pPr>
              <w:pStyle w:val="Compact"/>
              <w:jc w:val="left"/>
            </w:pPr>
            <w:r>
              <w:t xml:space="preserve">Thesis Drafting &amp; Policy Dissemination</w:t>
            </w:r>
          </w:p>
        </w:tc>
        <w:tc>
          <w:tcPr/>
          <w:p>
            <w:pPr>
              <w:pStyle w:val="Compact"/>
              <w:jc w:val="left"/>
            </w:pPr>
            <w:r>
              <w:t xml:space="preserve">Months 17-18</w:t>
            </w:r>
          </w:p>
        </w:tc>
        <w:tc>
          <w:tcPr/>
          <w:p>
            <w:pPr>
              <w:pStyle w:val="Compact"/>
              <w:jc w:val="left"/>
            </w:pPr>
            <w:r>
              <w:t xml:space="preserve">Policy workshop with Minsa officials, academic publishing costs</w:t>
            </w:r>
          </w:p>
        </w:tc>
      </w:tr>
    </w:tbl>
    <w:bookmarkEnd w:id="26"/>
    <w:bookmarkStart w:id="27" w:name="X3b2b945c33063eff7018db88411a55e5895b4ec"/>
    <w:p>
      <w:pPr>
        <w:pStyle w:val="Heading2"/>
      </w:pPr>
      <w:r>
        <w:t xml:space="preserve">8. Conclusion: The Imperative for Optometric Advancement in Peru Lima</w:t>
      </w:r>
    </w:p>
    <w:p>
      <w:pPr>
        <w:pStyle w:val="FirstParagraph"/>
      </w:pPr>
      <w:r>
        <w:t xml:space="preserve">The current Thesis Proposal establishes an urgent call to action for elevating the Optometrist profession within Peru's healthcare ecosystem. In a city where visual impairment is the leading cause of non-communicable disease burden among children (Lima Health Observatory, 2023), strategic investment in optometric services represents one of the most cost-effective public health interventions available. This research transcends academic inquiry—it will catalyze systemic change by proving that an Optometrist-led approach can transform eye care from a luxury to a universal right across Peru Lima. As we advance this Thesis Proposal, we affirm that every child in Lima deserves the opportunity to see clearly, and every community deserves an accessible Optometrist as their first point of vision health support. The success of this study will set a precedent not only for Peru but for optometry's evolution across Latin America.</w:t>
      </w:r>
    </w:p>
    <w:bookmarkEnd w:id="27"/>
    <w:bookmarkStart w:id="28" w:name="references-illustrative"/>
    <w:p>
      <w:pPr>
        <w:pStyle w:val="Heading2"/>
      </w:pPr>
      <w:r>
        <w:t xml:space="preserve">9. References (Illustrative)</w:t>
      </w:r>
    </w:p>
    <w:p>
      <w:pPr>
        <w:numPr>
          <w:ilvl w:val="0"/>
          <w:numId w:val="1004"/>
        </w:numPr>
        <w:pStyle w:val="Compact"/>
      </w:pPr>
      <w:r>
        <w:t xml:space="preserve">World Health Organization. (2023). *Global Guidelines on Eye Care*. Geneva: WHO Press.</w:t>
      </w:r>
    </w:p>
    <w:p>
      <w:pPr>
        <w:numPr>
          <w:ilvl w:val="0"/>
          <w:numId w:val="1004"/>
        </w:numPr>
        <w:pStyle w:val="Compact"/>
      </w:pPr>
      <w:r>
        <w:t xml:space="preserve">Ruiz, M., et al. (2021). "Optometry in Urban Peru: Barriers to Professional Integration." *Peruvian Journal of Ophthalmology*, 45(2), 88-103.</w:t>
      </w:r>
    </w:p>
    <w:p>
      <w:pPr>
        <w:numPr>
          <w:ilvl w:val="0"/>
          <w:numId w:val="1004"/>
        </w:numPr>
        <w:pStyle w:val="Compact"/>
      </w:pPr>
      <w:r>
        <w:t xml:space="preserve">Ministerio de Salud del Perú. (2023). *Informe Nacional de Salud Visual en Lima*. Lima: Minsa.</w:t>
      </w:r>
    </w:p>
    <w:p>
      <w:pPr>
        <w:pStyle w:val="FirstParagraph"/>
      </w:pPr>
      <w:r>
        <w:rPr>
          <w:bCs/>
          <w:b/>
        </w:rPr>
        <w:t xml:space="preserve">Word Count: 924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Care in Peru Lima</dc:title>
  <dc:creator/>
  <dc:language>en</dc:language>
  <cp:keywords/>
  <dcterms:created xsi:type="dcterms:W3CDTF">2026-07-14T07:49:32Z</dcterms:created>
  <dcterms:modified xsi:type="dcterms:W3CDTF">2026-07-14T07:49:32Z</dcterms:modified>
</cp:coreProperties>
</file>

<file path=docProps/custom.xml><?xml version="1.0" encoding="utf-8"?>
<Properties xmlns="http://schemas.openxmlformats.org/officeDocument/2006/custom-properties" xmlns:vt="http://schemas.openxmlformats.org/officeDocument/2006/docPropsVTypes"/>
</file>