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for</w:t>
      </w:r>
      <w:r>
        <w:t xml:space="preserve"> </w:t>
      </w:r>
      <w:r>
        <w:t xml:space="preserve">Enhanced</w:t>
      </w:r>
      <w:r>
        <w:t xml:space="preserve"> </w:t>
      </w:r>
      <w:r>
        <w:t xml:space="preserve">Eye</w:t>
      </w:r>
      <w:r>
        <w:t xml:space="preserve"> </w:t>
      </w:r>
      <w:r>
        <w:t xml:space="preserve">Care</w:t>
      </w:r>
      <w:r>
        <w:t xml:space="preserve"> </w:t>
      </w:r>
      <w:r>
        <w:t xml:space="preserve">in</w:t>
      </w:r>
      <w:r>
        <w:t xml:space="preserve"> </w:t>
      </w:r>
      <w:r>
        <w:t xml:space="preserve">Istanbul,</w:t>
      </w:r>
      <w:r>
        <w:t xml:space="preserve"> </w:t>
      </w:r>
      <w:r>
        <w:t xml:space="preserve">Turkey</w:t>
      </w:r>
    </w:p>
    <w:bookmarkStart w:id="29" w:name="Xf0bf357a983283d4332ebdbdfcedd3f7687ef08"/>
    <w:p>
      <w:pPr>
        <w:pStyle w:val="Heading1"/>
      </w:pPr>
      <w:r>
        <w:t xml:space="preserve">Thesis Proposal: Advancing Optometric Practice for Enhanced Eye Care in Istanbul, Turkey</w:t>
      </w:r>
    </w:p>
    <w:bookmarkStart w:id="20" w:name="abstract"/>
    <w:p>
      <w:pPr>
        <w:pStyle w:val="Heading2"/>
      </w:pPr>
      <w:r>
        <w:t xml:space="preserve">Abstract</w:t>
      </w:r>
    </w:p>
    <w:p>
      <w:pPr>
        <w:pStyle w:val="FirstParagraph"/>
      </w:pPr>
      <w:r>
        <w:t xml:space="preserve">This thesis proposal addresses a critical gap in primary eye care delivery within the rapidly urbanizing context of Istanbul, Turkey. With a population exceeding 16 million and rising prevalence of vision disorders linked to digital screen usage and aging demographics, the current healthcare model heavily relies on ophthalmologists for routine eye examinations. This imposes unsustainable strain on specialist services while underutilizing the potential of trained optometrists. The proposed research investigates the scope, challenges, and opportunities for expanding the role of the</w:t>
      </w:r>
      <w:r>
        <w:t xml:space="preserve"> </w:t>
      </w:r>
      <w:r>
        <w:rPr>
          <w:bCs/>
          <w:b/>
        </w:rPr>
        <w:t xml:space="preserve">Optometrist</w:t>
      </w:r>
      <w:r>
        <w:t xml:space="preserve"> </w:t>
      </w:r>
      <w:r>
        <w:t xml:space="preserve">as primary eye care providers within</w:t>
      </w:r>
      <w:r>
        <w:t xml:space="preserve"> </w:t>
      </w:r>
      <w:r>
        <w:rPr>
          <w:bCs/>
          <w:b/>
        </w:rPr>
        <w:t xml:space="preserve">Turkey Istanbul</w:t>
      </w:r>
      <w:r>
        <w:t xml:space="preserve">'s healthcare ecosystem. Through a mixed-methods approach, this study aims to provide evidence-based recommendations for policy reform and professional development to enhance accessibility, efficiency, and quality of eye health services in one of the world's largest metropolitan centers.</w:t>
      </w:r>
    </w:p>
    <w:bookmarkEnd w:id="20"/>
    <w:bookmarkStart w:id="21" w:name="X279d516b5eb9305e276de4d712d98f5ec2a152b"/>
    <w:p>
      <w:pPr>
        <w:pStyle w:val="Heading2"/>
      </w:pPr>
      <w:r>
        <w:t xml:space="preserve">Introduction: The Eye Care Landscape in Istanbul</w:t>
      </w:r>
    </w:p>
    <w:p>
      <w:pPr>
        <w:pStyle w:val="FirstParagraph"/>
      </w:pPr>
      <w:r>
        <w:t xml:space="preserve">Istanbul, as Turkey's economic, cultural, and demographic hub, faces unique challenges in delivering equitable healthcare. Vision impairment affects an estimated 3 million Turks (Turkish Ministry of Health, 2021), with urban populations like Istanbul experiencing higher rates of myopia and digital eye strain due to prolonged screen exposure. Despite the existence of optometry education programs (currently offered at over 15 universities across Turkey), the professional role of the</w:t>
      </w:r>
      <w:r>
        <w:t xml:space="preserve"> </w:t>
      </w:r>
      <w:r>
        <w:rPr>
          <w:bCs/>
          <w:b/>
        </w:rPr>
        <w:t xml:space="preserve">Optometrist</w:t>
      </w:r>
      <w:r>
        <w:t xml:space="preserve"> </w:t>
      </w:r>
      <w:r>
        <w:t xml:space="preserve">remains significantly constrained compared to international standards. In</w:t>
      </w:r>
      <w:r>
        <w:t xml:space="preserve"> </w:t>
      </w:r>
      <w:r>
        <w:rPr>
          <w:bCs/>
          <w:b/>
        </w:rPr>
        <w:t xml:space="preserve">Turkey Istanbul</w:t>
      </w:r>
      <w:r>
        <w:t xml:space="preserve">, optometrists often operate under restrictive regulations, primarily performing basic vision screening and optical dispensing, rather than conducting comprehensive eye health assessments or managing common conditions like dry eye or early glaucoma. This limitation stems from historical medical hierarchies favoring ophthalmology and a lack of nationally standardized scope-of-practice definitions.</w:t>
      </w:r>
    </w:p>
    <w:bookmarkEnd w:id="21"/>
    <w:bookmarkStart w:id="22" w:name="problem-statement"/>
    <w:p>
      <w:pPr>
        <w:pStyle w:val="Heading2"/>
      </w:pPr>
      <w:r>
        <w:t xml:space="preserve">Problem Statement</w:t>
      </w:r>
    </w:p>
    <w:p>
      <w:pPr>
        <w:pStyle w:val="FirstParagraph"/>
      </w:pPr>
      <w:r>
        <w:t xml:space="preserve">The current system in Istanbul exemplifies a misalignment between public eye health needs and available professional resources. Key issues include:</w:t>
      </w:r>
    </w:p>
    <w:p>
      <w:pPr>
        <w:numPr>
          <w:ilvl w:val="0"/>
          <w:numId w:val="1001"/>
        </w:numPr>
        <w:pStyle w:val="Compact"/>
      </w:pPr>
      <w:r>
        <w:rPr>
          <w:bCs/>
          <w:b/>
        </w:rPr>
        <w:t xml:space="preserve">Overburdened Ophthalmology Services:</w:t>
      </w:r>
      <w:r>
        <w:t xml:space="preserve"> </w:t>
      </w:r>
      <w:r>
        <w:t xml:space="preserve">Ophthalmologists manage routine refractions and screenings that could be handled by optometrists, leading to extended wait times (often exceeding 3 months) for urgent conditions like diabetic retinopathy.</w:t>
      </w:r>
    </w:p>
    <w:p>
      <w:pPr>
        <w:numPr>
          <w:ilvl w:val="0"/>
          <w:numId w:val="1001"/>
        </w:numPr>
        <w:pStyle w:val="Compact"/>
      </w:pPr>
      <w:r>
        <w:rPr>
          <w:bCs/>
          <w:b/>
        </w:rPr>
        <w:t xml:space="preserve">Limited Public Awareness:</w:t>
      </w:r>
      <w:r>
        <w:t xml:space="preserve"> </w:t>
      </w:r>
      <w:r>
        <w:t xml:space="preserve">Many Istanbul residents confuse optometrists with optical assistants or "opticians," unaware of their clinical diagnostic capabilities, reducing demand for their services.</w:t>
      </w:r>
    </w:p>
    <w:p>
      <w:pPr>
        <w:numPr>
          <w:ilvl w:val="0"/>
          <w:numId w:val="1001"/>
        </w:numPr>
        <w:pStyle w:val="Compact"/>
      </w:pPr>
      <w:r>
        <w:rPr>
          <w:bCs/>
          <w:b/>
        </w:rPr>
        <w:t xml:space="preserve">Regulatory Constraints:</w:t>
      </w:r>
      <w:r>
        <w:t xml:space="preserve"> </w:t>
      </w:r>
      <w:r>
        <w:t xml:space="preserve">The Turkish Medical Association (TMA) restricts optometrists' ability to diagnose and manage eye diseases independently, preventing them from functioning as true primary eye care providers within the national framework.</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2"/>
        </w:numPr>
        <w:pStyle w:val="Compact"/>
      </w:pPr>
      <w:r>
        <w:t xml:space="preserve">Evaluate the current scope of practice, workflow, and professional autonomy of optometrists across diverse clinical settings (public hospitals, private clinics, community centers) in Istanbul.</w:t>
      </w:r>
    </w:p>
    <w:p>
      <w:pPr>
        <w:numPr>
          <w:ilvl w:val="0"/>
          <w:numId w:val="1002"/>
        </w:numPr>
        <w:pStyle w:val="Compact"/>
      </w:pPr>
      <w:r>
        <w:t xml:space="preserve">Analyze public awareness and utilization patterns regarding optometric services among Istanbul residents through targeted surveys.</w:t>
      </w:r>
    </w:p>
    <w:p>
      <w:pPr>
        <w:numPr>
          <w:ilvl w:val="0"/>
          <w:numId w:val="1002"/>
        </w:numPr>
        <w:pStyle w:val="Compact"/>
      </w:pPr>
      <w:r>
        <w:t xml:space="preserve">Identify key barriers (regulatory, educational, cultural) to expanding the optometrist's role and assess potential models for integration within Turkey's healthcare system, drawing lessons from successful implementations in countries like Australia and the UK.</w:t>
      </w:r>
    </w:p>
    <w:p>
      <w:pPr>
        <w:numPr>
          <w:ilvl w:val="0"/>
          <w:numId w:val="1002"/>
        </w:numPr>
        <w:pStyle w:val="Compact"/>
      </w:pPr>
      <w:r>
        <w:t xml:space="preserve">Develop evidence-based policy recommendations for the Turkish Ministry of Health and TMA to modernize optometry practice standards specifically tailored to Istanbul's urban context.</w:t>
      </w:r>
    </w:p>
    <w:bookmarkEnd w:id="23"/>
    <w:bookmarkStart w:id="24" w:name="literature-review-brief-context"/>
    <w:p>
      <w:pPr>
        <w:pStyle w:val="Heading2"/>
      </w:pPr>
      <w:r>
        <w:t xml:space="preserve">Literature Review (Brief Context)</w:t>
      </w:r>
    </w:p>
    <w:p>
      <w:pPr>
        <w:pStyle w:val="FirstParagraph"/>
      </w:pPr>
      <w:r>
        <w:t xml:space="preserve">Global research consistently demonstrates that expanding the role of optometrists significantly improves access to eye care, reduces costs, and enhances patient outcomes without compromising quality (World Health Organization, 2019). In urban settings like Istanbul with high population density and diverse socioeconomic strata, this model is particularly advantageous. However, literature specific to Turkey remains scarce. Studies by Turkish ophthalmologists (e.g., Yilmaz et al., 2020) acknowledge the need for optometric advancement but lack comprehensive analysis of barriers within Istanbul's unique administrative and cultural landscape. This research bridges that critical gap.</w:t>
      </w:r>
    </w:p>
    <w:bookmarkEnd w:id="24"/>
    <w:bookmarkStart w:id="25" w:name="methodology"/>
    <w:p>
      <w:pPr>
        <w:pStyle w:val="Heading2"/>
      </w:pPr>
      <w:r>
        <w:t xml:space="preserve">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w:t>
      </w:r>
      <w:r>
        <w:t xml:space="preserve"> </w:t>
      </w:r>
      <w:r>
        <w:t xml:space="preserve">Stratified random sampling of 300 Istanbul residents across districts (e.g., Fatih, Kadikoy, Basaksehir) via structured questionnaires to assess awareness, usage patterns, and service expectations regarding optometrists.</w:t>
      </w:r>
    </w:p>
    <w:p>
      <w:pPr>
        <w:numPr>
          <w:ilvl w:val="0"/>
          <w:numId w:val="1003"/>
        </w:numPr>
        <w:pStyle w:val="Compact"/>
      </w:pPr>
      <w:r>
        <w:rPr>
          <w:bCs/>
          <w:b/>
        </w:rPr>
        <w:t xml:space="preserve">Phase 2 (Qualitative):</w:t>
      </w:r>
      <w:r>
        <w:t xml:space="preserve"> </w:t>
      </w:r>
      <w:r>
        <w:t xml:space="preserve">In-depth interviews with 25 key stakeholders: practicing optometrists (n=15), ophthalmologists (n=5), TMA representatives (n=3), and public health officials (n=2) from Istanbul to explore systemic challenges and opportunities.</w:t>
      </w:r>
    </w:p>
    <w:p>
      <w:pPr>
        <w:numPr>
          <w:ilvl w:val="0"/>
          <w:numId w:val="1003"/>
        </w:numPr>
        <w:pStyle w:val="Compact"/>
      </w:pPr>
      <w:r>
        <w:rPr>
          <w:bCs/>
          <w:b/>
        </w:rPr>
        <w:t xml:space="preserve">Phase 3:</w:t>
      </w:r>
      <w:r>
        <w:t xml:space="preserve"> </w:t>
      </w:r>
      <w:r>
        <w:t xml:space="preserve">Comparative analysis of optometry regulatory frameworks in Turkey versus model countries, coupled with a feasibility study for proposed scope-of-practice reforms within Istanbul's municipal health services.</w:t>
      </w:r>
    </w:p>
    <w:p>
      <w:pPr>
        <w:pStyle w:val="FirstParagraph"/>
      </w:pPr>
      <w:r>
        <w:t xml:space="preserve">Data will be analyzed using NVivo for thematic coding (Qualitative) and SPSS for statistical analysis (Quantitative). Ethical approval will be secured from the university ethics board and relevant Turkish authorities.</w:t>
      </w:r>
    </w:p>
    <w:bookmarkEnd w:id="25"/>
    <w:bookmarkStart w:id="26"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Turkey Istanbul</w:t>
      </w:r>
      <w:r>
        <w:t xml:space="preserve">:</w:t>
      </w:r>
    </w:p>
    <w:p>
      <w:pPr>
        <w:numPr>
          <w:ilvl w:val="0"/>
          <w:numId w:val="1004"/>
        </w:numPr>
        <w:pStyle w:val="Compact"/>
      </w:pPr>
      <w:r>
        <w:rPr>
          <w:bCs/>
          <w:b/>
        </w:rPr>
        <w:t xml:space="preserve">Patient Access:</w:t>
      </w:r>
      <w:r>
        <w:t xml:space="preserve"> </w:t>
      </w:r>
      <w:r>
        <w:t xml:space="preserve">Empowering optometrists to handle 60-70% of routine eye care could drastically reduce ophthalmology wait times, directly benefiting millions in Istanbul.</w:t>
      </w:r>
    </w:p>
    <w:p>
      <w:pPr>
        <w:numPr>
          <w:ilvl w:val="0"/>
          <w:numId w:val="1004"/>
        </w:numPr>
        <w:pStyle w:val="Compact"/>
      </w:pPr>
      <w:r>
        <w:rPr>
          <w:bCs/>
          <w:b/>
        </w:rPr>
        <w:t xml:space="preserve">Health System Efficiency:</w:t>
      </w:r>
      <w:r>
        <w:t xml:space="preserve"> </w:t>
      </w:r>
      <w:r>
        <w:t xml:space="preserve">Reducing unnecessary specialist referrals would lower healthcare costs and optimize resource allocation within the national system.</w:t>
      </w:r>
    </w:p>
    <w:p>
      <w:pPr>
        <w:numPr>
          <w:ilvl w:val="0"/>
          <w:numId w:val="1004"/>
        </w:numPr>
        <w:pStyle w:val="Compact"/>
      </w:pPr>
      <w:r>
        <w:rPr>
          <w:bCs/>
          <w:b/>
        </w:rPr>
        <w:t xml:space="preserve">Professional Development:</w:t>
      </w:r>
      <w:r>
        <w:t xml:space="preserve"> </w:t>
      </w:r>
      <w:r>
        <w:t xml:space="preserve">Establishing a clear, respected role for the</w:t>
      </w:r>
      <w:r>
        <w:t xml:space="preserve"> </w:t>
      </w:r>
      <w:r>
        <w:rPr>
          <w:bCs/>
          <w:b/>
        </w:rPr>
        <w:t xml:space="preserve">Optometrist</w:t>
      </w:r>
      <w:r>
        <w:t xml:space="preserve"> </w:t>
      </w:r>
      <w:r>
        <w:t xml:space="preserve">will attract higher-caliber graduates to the profession, improving service quality across Istanbul.</w:t>
      </w:r>
    </w:p>
    <w:p>
      <w:pPr>
        <w:numPr>
          <w:ilvl w:val="0"/>
          <w:numId w:val="1004"/>
        </w:numPr>
        <w:pStyle w:val="Compact"/>
      </w:pPr>
      <w:r>
        <w:rPr>
          <w:bCs/>
          <w:b/>
        </w:rPr>
        <w:t xml:space="preserve">National Policy Impact:</w:t>
      </w:r>
      <w:r>
        <w:t xml:space="preserve"> </w:t>
      </w:r>
      <w:r>
        <w:t xml:space="preserve">Findings will provide actionable evidence to advocate for revised national legislation governing optometric practice in Turkey, moving beyond Istanbul as a pilot case.</w:t>
      </w:r>
    </w:p>
    <w:bookmarkEnd w:id="26"/>
    <w:bookmarkStart w:id="27" w:name="expected-outcomes-and-timeline"/>
    <w:p>
      <w:pPr>
        <w:pStyle w:val="Heading2"/>
      </w:pPr>
      <w:r>
        <w:t xml:space="preserve">Expected Outcomes and Timeline</w:t>
      </w:r>
    </w:p>
    <w:p>
      <w:pPr>
        <w:pStyle w:val="FirstParagraph"/>
      </w:pPr>
      <w:r>
        <w:t xml:space="preserve">The thesis anticipates producing:</w:t>
      </w:r>
    </w:p>
    <w:p>
      <w:pPr>
        <w:numPr>
          <w:ilvl w:val="0"/>
          <w:numId w:val="1005"/>
        </w:numPr>
        <w:pStyle w:val="Compact"/>
      </w:pPr>
      <w:r>
        <w:t xml:space="preserve">A detailed mapping of the current optometry landscape in Istanbul.</w:t>
      </w:r>
    </w:p>
    <w:p>
      <w:pPr>
        <w:numPr>
          <w:ilvl w:val="0"/>
          <w:numId w:val="1005"/>
        </w:numPr>
        <w:pStyle w:val="Compact"/>
      </w:pPr>
      <w:r>
        <w:t xml:space="preserve">A validated scale measuring public awareness of optometric services.</w:t>
      </w:r>
    </w:p>
    <w:p>
      <w:pPr>
        <w:numPr>
          <w:ilvl w:val="0"/>
          <w:numId w:val="1005"/>
        </w:numPr>
        <w:pStyle w:val="Compact"/>
      </w:pPr>
      <w:r>
        <w:t xml:space="preserve">A comprehensive policy framework for expanding the scope of practice tailored to Istanbul's healthcare infrastructure and cultural context.</w:t>
      </w:r>
    </w:p>
    <w:p>
      <w:pPr>
        <w:pStyle w:val="FirstParagraph"/>
      </w:pPr>
      <w:r>
        <w:rPr>
          <w:bCs/>
          <w:b/>
        </w:rPr>
        <w:t xml:space="preserve">Timeline (6 Months):</w:t>
      </w:r>
      <w:r>
        <w:t xml:space="preserve"> </w:t>
      </w:r>
      <w:r>
        <w:t xml:space="preserve">Months 1-2: Literature review &amp; instrument design; Months 3-4: Data collection (Istanbul fieldwork); Month 5: Analysis &amp; draft; Month 6: Final thesis writing and policy brief preparation.</w:t>
      </w:r>
    </w:p>
    <w:bookmarkEnd w:id="27"/>
    <w:bookmarkStart w:id="28" w:name="conclusion"/>
    <w:p>
      <w:pPr>
        <w:pStyle w:val="Heading2"/>
      </w:pPr>
      <w:r>
        <w:t xml:space="preserve">Conclusion</w:t>
      </w:r>
    </w:p>
    <w:p>
      <w:pPr>
        <w:pStyle w:val="FirstParagraph"/>
      </w:pPr>
      <w:r>
        <w:t xml:space="preserve">The integration of the</w:t>
      </w:r>
      <w:r>
        <w:t xml:space="preserve"> </w:t>
      </w:r>
      <w:r>
        <w:rPr>
          <w:bCs/>
          <w:b/>
        </w:rPr>
        <w:t xml:space="preserve">Optometrist</w:t>
      </w:r>
      <w:r>
        <w:t xml:space="preserve"> </w:t>
      </w:r>
      <w:r>
        <w:t xml:space="preserve">as a central pillar of primary eye care is not merely beneficial but essential for sustainable eye health service delivery in modern Istanbul, Turkey. This research directly responds to the urgent need for evidence-based reform within the Turkish healthcare system. By focusing on</w:t>
      </w:r>
      <w:r>
        <w:t xml:space="preserve"> </w:t>
      </w:r>
      <w:r>
        <w:rPr>
          <w:bCs/>
          <w:b/>
        </w:rPr>
        <w:t xml:space="preserve">Turkey Istanbul</w:t>
      </w:r>
      <w:r>
        <w:t xml:space="preserve">'s specific urban challenges and opportunities, this thesis proposal offers a roadmap to transform vision care from a reactive, specialist-dependent model into an accessible, preventive, and efficient public health service. Successfully advancing optometric practice will empower both professionals and citizens within Istanbul's vibrant community while setting a precedent for the entire nation. The proposed work is not just an academic exercise; it is a strategic imperative for improving the quality of life for millions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for Enhanced Eye Care in Istanbul, Turkey</dc:title>
  <dc:creator/>
  <dc:language>en</dc:language>
  <cp:keywords/>
  <dcterms:created xsi:type="dcterms:W3CDTF">2026-07-19T12:29:18Z</dcterms:created>
  <dcterms:modified xsi:type="dcterms:W3CDTF">2026-07-19T12:29:18Z</dcterms:modified>
</cp:coreProperties>
</file>

<file path=docProps/custom.xml><?xml version="1.0" encoding="utf-8"?>
<Properties xmlns="http://schemas.openxmlformats.org/officeDocument/2006/custom-properties" xmlns:vt="http://schemas.openxmlformats.org/officeDocument/2006/docPropsVTypes"/>
</file>