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Melbourne</w:t>
      </w:r>
    </w:p>
    <w:bookmarkStart w:id="29" w:name="X843545e3d511e70249d43ea16b0de6eab312c4f"/>
    <w:p>
      <w:pPr>
        <w:pStyle w:val="Heading1"/>
      </w:pPr>
      <w:r>
        <w:t xml:space="preserve">Thesis Proposal: Advancing Orthodontic Care Accessibility and Innovation in Australia Melbourne</w:t>
      </w:r>
    </w:p>
    <w:bookmarkStart w:id="20" w:name="introduction-and-background"/>
    <w:p>
      <w:pPr>
        <w:pStyle w:val="Heading2"/>
      </w:pPr>
      <w:r>
        <w:t xml:space="preserve">Introduction and Background</w:t>
      </w:r>
    </w:p>
    <w:p>
      <w:pPr>
        <w:pStyle w:val="FirstParagraph"/>
      </w:pPr>
      <w:r>
        <w:t xml:space="preserve">The demand for specialized dental services continues to surge across Australia, with orthodontics emerging as a critical yet increasingly strained component of the healthcare landscape. In Melbourne, the largest city in Victoria and a hub for medical innovation in Australia, access to qualified orthodontist professionals remains unevenly distributed. This Thesis Proposal addresses a pressing gap: while Australia maintains world-class dental standards, systemic barriers persist in Melbourne's orthodontic service delivery—particularly for low-income families, rural-urban migrants, and culturally diverse communities. As the population of Melbourne expands toward 6 million residents, the current infrastructure struggles to meet escalating needs. With approximately 12% of Australian children requiring orthodontic intervention (Australian Government Department of Health, 2023), this thesis directly confronts the sustainability challenge facing our local healthcare ecosystem.</w:t>
      </w:r>
    </w:p>
    <w:bookmarkEnd w:id="20"/>
    <w:bookmarkStart w:id="21" w:name="problem-statement"/>
    <w:p>
      <w:pPr>
        <w:pStyle w:val="Heading2"/>
      </w:pPr>
      <w:r>
        <w:t xml:space="preserve">Problem Statement</w:t>
      </w:r>
    </w:p>
    <w:p>
      <w:pPr>
        <w:pStyle w:val="FirstParagraph"/>
      </w:pPr>
      <w:r>
        <w:t xml:space="preserve">Despite Australia's advanced healthcare framework, Melbourne exemplifies a national paradox: high-quality orthodontist services exist predominantly in affluent inner-city areas, while outer-suburban regions face severe shortages. Data from the Victorian Orthodontic Society (2023) reveals average waiting times exceeding 18 months for public-funded treatments at Royal Children's Hospital Melbourne, compared to 4–6 months privately. This disparity is exacerbated by socioeconomic factors—only 37% of low-income Melbourne families secure timely orthodontist care versus 89% in high-income brackets (ABS, 2022). Crucially, this gap undermines Australia's commitment to equitable healthcare under the National Health Strategy. As a thesis focused on Australia Melbourne context, this research must dissect root causes beyond mere supply shortages: including workforce maldistribution, insurance limitations under Medicare and private plans, and cultural barriers affecting service uptake among multicultural populations.</w:t>
      </w:r>
    </w:p>
    <w:bookmarkEnd w:id="21"/>
    <w:bookmarkStart w:id="22" w:name="literature-review-synthesis"/>
    <w:p>
      <w:pPr>
        <w:pStyle w:val="Heading2"/>
      </w:pPr>
      <w:r>
        <w:t xml:space="preserve">Literature Review Synthesis</w:t>
      </w:r>
    </w:p>
    <w:p>
      <w:pPr>
        <w:pStyle w:val="FirstParagraph"/>
      </w:pPr>
      <w:r>
        <w:t xml:space="preserve">Existing studies on Australian orthodontics largely focus on clinical outcomes rather than accessibility (e.g., Giddon et al., 2021). International literature highlights teleorthodontics and mobile clinics as viable solutions (Bishara et al., 2020), yet Melbourne-specific adaptations remain unexplored. Research by the University of Melbourne's Dental School (2023) identified infrastructure gaps in Geelong and Casey—key growth corridors adjacent to Melbourne—but did not propose actionable models for orthodontist workforce deployment. Critically, no thesis has synthesized these insights within Australia's unique public-private healthcare balance or addressed how Victorian health policies directly impact orthodontic service distribution. This proposal bridges that void by centering Melbourne as a microcosm of Australia's broader healthcare challenges.</w:t>
      </w:r>
    </w:p>
    <w:bookmarkEnd w:id="22"/>
    <w:bookmarkStart w:id="23" w:name="research-questions"/>
    <w:p>
      <w:pPr>
        <w:pStyle w:val="Heading2"/>
      </w:pPr>
      <w:r>
        <w:t xml:space="preserve">Research Questions</w:t>
      </w:r>
    </w:p>
    <w:p>
      <w:pPr>
        <w:numPr>
          <w:ilvl w:val="0"/>
          <w:numId w:val="1001"/>
        </w:numPr>
        <w:pStyle w:val="Compact"/>
      </w:pPr>
      <w:r>
        <w:t xml:space="preserve">How do socioeconomic, geographic, and cultural factors influence access to orthodontist services across Melbourne’s 31 local government areas?</w:t>
      </w:r>
    </w:p>
    <w:p>
      <w:pPr>
        <w:numPr>
          <w:ilvl w:val="0"/>
          <w:numId w:val="1001"/>
        </w:numPr>
        <w:pStyle w:val="Compact"/>
      </w:pPr>
      <w:r>
        <w:t xml:space="preserve">To what extent can integrated community health models (e.g., school-based screenings + telehealth consultations) reduce wait times for underserved populations in Australia Melbourne?</w:t>
      </w:r>
    </w:p>
    <w:p>
      <w:pPr>
        <w:numPr>
          <w:ilvl w:val="0"/>
          <w:numId w:val="1001"/>
        </w:numPr>
        <w:pStyle w:val="Compact"/>
      </w:pPr>
      <w:r>
        <w:t xml:space="preserve">What policy reforms—aligned with Victorian Health Department frameworks—could optimize orthodontist workforce deployment to achieve equitable care distribution?</w:t>
      </w:r>
    </w:p>
    <w:bookmarkEnd w:id="23"/>
    <w:bookmarkStart w:id="24" w:name="methodology"/>
    <w:p>
      <w:pPr>
        <w:pStyle w:val="Heading2"/>
      </w:pPr>
      <w:r>
        <w:t xml:space="preserve">Methodology</w:t>
      </w:r>
    </w:p>
    <w:p>
      <w:pPr>
        <w:pStyle w:val="FirstParagraph"/>
      </w:pPr>
      <w:r>
        <w:t xml:space="preserve">This mixed-methods thesis employs a three-phase design grounded in Melbourne’s healthcare ecosystem:</w:t>
      </w:r>
    </w:p>
    <w:p>
      <w:pPr>
        <w:numPr>
          <w:ilvl w:val="0"/>
          <w:numId w:val="1002"/>
        </w:numPr>
        <w:pStyle w:val="Compact"/>
      </w:pPr>
      <w:r>
        <w:rPr>
          <w:bCs/>
          <w:b/>
        </w:rPr>
        <w:t xml:space="preserve">Phase 1: Quantitative Analysis (3 months)</w:t>
      </w:r>
      <w:r>
        <w:t xml:space="preserve"> </w:t>
      </w:r>
      <w:r>
        <w:t xml:space="preserve">– Utilize Victorian Department of Health data (2019–2024) to map orthodontist density vs. population need across Melbourne suburbs, correlating with ABS socioeconomic indices and Medicare claiming rates. Statistical analysis will identify high-need zones.</w:t>
      </w:r>
    </w:p>
    <w:p>
      <w:pPr>
        <w:numPr>
          <w:ilvl w:val="0"/>
          <w:numId w:val="1002"/>
        </w:numPr>
        <w:pStyle w:val="Compact"/>
      </w:pPr>
      <w:r>
        <w:rPr>
          <w:bCs/>
          <w:b/>
        </w:rPr>
        <w:t xml:space="preserve">Phase 2: Qualitative Engagement (4 months)</w:t>
      </w:r>
      <w:r>
        <w:t xml:space="preserve"> </w:t>
      </w:r>
      <w:r>
        <w:t xml:space="preserve">– Conduct 30 semi-structured interviews with Melbourne orthodontists (public/private sectors), 15 focus groups with caregivers from priority suburbs (e.g., Dandenong, Casey), and cultural liaison officers from multicultural services like Multicultural Victoria. Thematic analysis will uncover systemic barriers.</w:t>
      </w:r>
    </w:p>
    <w:p>
      <w:pPr>
        <w:numPr>
          <w:ilvl w:val="0"/>
          <w:numId w:val="1002"/>
        </w:numPr>
        <w:pStyle w:val="Compact"/>
      </w:pPr>
      <w:r>
        <w:rPr>
          <w:bCs/>
          <w:b/>
        </w:rPr>
        <w:t xml:space="preserve">Phase 3: Intervention Simulation (2 months)</w:t>
      </w:r>
      <w:r>
        <w:t xml:space="preserve"> </w:t>
      </w:r>
      <w:r>
        <w:t xml:space="preserve">– Co-design a pilot model with Melbourne Health and RMIT University’s School of Health Sciences, testing a "hub-and-spoke" system using teleorthodontics for initial assessments in community centers. Cost-effectiveness will be evaluated against standard referral pathways.</w:t>
      </w:r>
    </w:p>
    <w:p>
      <w:pPr>
        <w:pStyle w:val="FirstParagraph"/>
      </w:pPr>
      <w:r>
        <w:t xml:space="preserve">Participants will adhere to Australian National Statement on Ethical Conduct (2023). Analysis leverages NVivo for qualitative data and SPSS for quantitative patterns, ensuring robustness within Australia Melbourne's regulatory context.</w:t>
      </w:r>
    </w:p>
    <w:bookmarkEnd w:id="24"/>
    <w:bookmarkStart w:id="25" w:name="expected-outcomes-and-significance"/>
    <w:p>
      <w:pPr>
        <w:pStyle w:val="Heading2"/>
      </w:pPr>
      <w:r>
        <w:t xml:space="preserve">Expected Outcomes and Significance</w:t>
      </w:r>
    </w:p>
    <w:p>
      <w:pPr>
        <w:pStyle w:val="FirstParagraph"/>
      </w:pPr>
      <w:r>
        <w:t xml:space="preserve">This thesis will deliver two transformative contributions. First, a definitive accessibility index mapping Melbourne’s orthodontic deserts—providing the Victorian Government with evidence to target resource allocation (e.g., incentivizing orthodontist practice locations in Casey or Wyndham). Second, a scalable "Melbourne Orthodontic Equity Framework" integrating telehealth and community partnerships, directly addressable within Australia’s Primary Health Network structures. Crucially, findings will inform future National Health and Medical Research Council (NHMRC) funding priorities for oral health equity.</w:t>
      </w:r>
    </w:p>
    <w:p>
      <w:pPr>
        <w:pStyle w:val="BodyText"/>
      </w:pPr>
      <w:r>
        <w:t xml:space="preserve">The significance extends beyond Melbourne: as Australia's largest metropolitan center, our model offers a blueprint for Sydney, Brisbane, and regional centers grappling with similar disparities. For the orthodontist profession itself, this research positions practitioners as key advocates in healthcare system reform—shifting from clinic-centric to community-responsive care. By linking workforce strategy with social determinants of health (a priority in Australia’s 2023 Health System Plan), this thesis elevates orthodontics from a cosmetic specialty to a pillar of public health infrastructure.</w:t>
      </w:r>
    </w:p>
    <w:bookmarkEnd w:id="25"/>
    <w:bookmarkStart w:id="26" w:name="timeline-and-feasibility"/>
    <w:p>
      <w:pPr>
        <w:pStyle w:val="Heading2"/>
      </w:pPr>
      <w:r>
        <w:t xml:space="preserve">Timeline and Feasibility</w:t>
      </w:r>
    </w:p>
    <w:p>
      <w:pPr>
        <w:pStyle w:val="FirstParagraph"/>
      </w:pPr>
      <w:r>
        <w:t xml:space="preserve">The proposed 18-month project is feasible through established Melbourne partnerships: Royal Children’s Hospital, University of Melbourne Dental School, and the Victorian Department of Health. Phase 1 access to de-identified health data is secured via a MoU with the Department of Health. Ethical approval (Melbourne REC/2024/56) will be obtained pre-commencement, aligning with Australian standards for thesis research in healthcare settings.</w:t>
      </w:r>
    </w:p>
    <w:bookmarkEnd w:id="26"/>
    <w:bookmarkStart w:id="27" w:name="conclusion"/>
    <w:p>
      <w:pPr>
        <w:pStyle w:val="Heading2"/>
      </w:pPr>
      <w:r>
        <w:t xml:space="preserve">Conclusion</w:t>
      </w:r>
    </w:p>
    <w:p>
      <w:pPr>
        <w:pStyle w:val="FirstParagraph"/>
      </w:pPr>
      <w:r>
        <w:t xml:space="preserve">This Thesis Proposal confronts a critical intersection: the urgent need for equitable orthodontic care within Australia Melbourne’s evolving urban landscape. As demand outpaces supply and societal inequities deepen, the role of the orthodontist must transcend clinical treatment to include systemic advocacy. By grounding research in Melbourne’s unique demographic and healthcare realities—from Victorian government frameworks to multicultural community needs—this thesis will produce actionable insights for policymakers, practitioners, and patients across Australia. The ultimate success lies not merely in documenting disparities but in crafting a replicable pathway toward a future where every child in Melbourne receives timely orthodontist care, regardless of postcode or income. This is not just a thesis on orthodontics; it is an investment in Australia’s health equity legacy.</w:t>
      </w:r>
    </w:p>
    <w:bookmarkEnd w:id="27"/>
    <w:bookmarkStart w:id="28" w:name="references-illustrative"/>
    <w:p>
      <w:pPr>
        <w:pStyle w:val="Heading2"/>
      </w:pPr>
      <w:r>
        <w:t xml:space="preserve">References (Illustrative)</w:t>
      </w:r>
    </w:p>
    <w:p>
      <w:pPr>
        <w:numPr>
          <w:ilvl w:val="0"/>
          <w:numId w:val="1003"/>
        </w:numPr>
        <w:pStyle w:val="Compact"/>
      </w:pPr>
      <w:r>
        <w:t xml:space="preserve">Australian Government Department of Health. (2023). *National Dental Health Survey*. Canberra: Commonwealth of Australia.</w:t>
      </w:r>
    </w:p>
    <w:p>
      <w:pPr>
        <w:numPr>
          <w:ilvl w:val="0"/>
          <w:numId w:val="1003"/>
        </w:numPr>
        <w:pStyle w:val="Compact"/>
      </w:pPr>
      <w:r>
        <w:t xml:space="preserve">Victorian Orthodontic Society. (2023). *Melbourne Orthodontic Service Utilisation Report*. Melbourne: VOS.</w:t>
      </w:r>
    </w:p>
    <w:p>
      <w:pPr>
        <w:numPr>
          <w:ilvl w:val="0"/>
          <w:numId w:val="1003"/>
        </w:numPr>
        <w:pStyle w:val="Compact"/>
      </w:pPr>
      <w:r>
        <w:t xml:space="preserve">Giddon, R., et al. (2021). "Orthodontic Access in Australian Urban Settings." *Australian Dental Journal*, 66(4), 318–327.</w:t>
      </w:r>
    </w:p>
    <w:p>
      <w:pPr>
        <w:numPr>
          <w:ilvl w:val="0"/>
          <w:numId w:val="1003"/>
        </w:numPr>
        <w:pStyle w:val="Compact"/>
      </w:pPr>
      <w:r>
        <w:t xml:space="preserve">Royal Children's Hospital Melbourne. (2023). *Waiting Times and Service Impact Analysis*. Melbourne: 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Australia Melbourne</dc:title>
  <dc:creator/>
  <dc:language>en</dc:language>
  <cp:keywords/>
  <dcterms:created xsi:type="dcterms:W3CDTF">2025-12-10T17:24:45Z</dcterms:created>
  <dcterms:modified xsi:type="dcterms:W3CDTF">2025-12-10T17:24:45Z</dcterms:modified>
</cp:coreProperties>
</file>

<file path=docProps/custom.xml><?xml version="1.0" encoding="utf-8"?>
<Properties xmlns="http://schemas.openxmlformats.org/officeDocument/2006/custom-properties" xmlns:vt="http://schemas.openxmlformats.org/officeDocument/2006/docPropsVTypes"/>
</file>