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Practice</w:t>
      </w:r>
      <w:r>
        <w:t xml:space="preserve"> </w:t>
      </w:r>
      <w:r>
        <w:t xml:space="preserve">in</w:t>
      </w:r>
      <w:r>
        <w:t xml:space="preserve"> </w:t>
      </w:r>
      <w:r>
        <w:t xml:space="preserve">Germany</w:t>
      </w:r>
      <w:r>
        <w:t xml:space="preserve"> </w:t>
      </w:r>
      <w:r>
        <w:t xml:space="preserve">Munich</w:t>
      </w:r>
    </w:p>
    <w:bookmarkStart w:id="30" w:name="X97307a2dad986c26ddd37a1f3933b9988ae2fc4"/>
    <w:p>
      <w:pPr>
        <w:pStyle w:val="Heading1"/>
      </w:pPr>
      <w:r>
        <w:t xml:space="preserve">Thesis Proposal: Advancing Orthodontic Practice in Germany Munich – A Comprehensive Study on Patient-Centered Care, Technological Integration, and Regulatory Compliance</w:t>
      </w:r>
    </w:p>
    <w:bookmarkStart w:id="20" w:name="introduction-and-research-context"/>
    <w:p>
      <w:pPr>
        <w:pStyle w:val="Heading2"/>
      </w:pPr>
      <w:r>
        <w:t xml:space="preserve">1. Introduction and Research Context</w:t>
      </w:r>
    </w:p>
    <w:p>
      <w:pPr>
        <w:pStyle w:val="FirstParagraph"/>
      </w:pPr>
      <w:r>
        <w:t xml:space="preserve">The field of orthodontics in Germany Munich represents a dynamic intersection of advanced clinical practice, stringent healthcare regulation, and evolving patient expectations. As one of Europe’s most economically vibrant cities with a population exceeding 1.5 million residents, Munich demands orthodontic services that balance high-quality care with accessibility within the German statutory health insurance (SHI) framework. This</w:t>
      </w:r>
      <w:r>
        <w:t xml:space="preserve"> </w:t>
      </w:r>
      <w:r>
        <w:rPr>
          <w:bCs/>
          <w:b/>
        </w:rPr>
        <w:t xml:space="preserve">Thesis Proposal</w:t>
      </w:r>
      <w:r>
        <w:t xml:space="preserve"> </w:t>
      </w:r>
      <w:r>
        <w:t xml:space="preserve">addresses critical gaps in understanding how the modern</w:t>
      </w:r>
      <w:r>
        <w:t xml:space="preserve"> </w:t>
      </w:r>
      <w:r>
        <w:rPr>
          <w:bCs/>
          <w:b/>
        </w:rPr>
        <w:t xml:space="preserve">Orthodontist</w:t>
      </w:r>
      <w:r>
        <w:t xml:space="preserve"> </w:t>
      </w:r>
      <w:r>
        <w:t xml:space="preserve">navigates professional challenges unique to</w:t>
      </w:r>
      <w:r>
        <w:t xml:space="preserve"> </w:t>
      </w:r>
      <w:r>
        <w:rPr>
          <w:bCs/>
          <w:b/>
        </w:rPr>
        <w:t xml:space="preserve">Germany Munich</w:t>
      </w:r>
      <w:r>
        <w:t xml:space="preserve">, including demographic shifts, digital transformation, and Bavarian-specific dental regulations. The city’s status as a hub for medical innovation and its affluent yet diverse population necessitate a focused investigation into sustainable orthodontic practice models that prioritize patient outcomes while adhering to Germany’s rigorous healthcare standards.</w:t>
      </w:r>
    </w:p>
    <w:bookmarkEnd w:id="20"/>
    <w:bookmarkStart w:id="21" w:name="problem-statement-and-research-gap"/>
    <w:p>
      <w:pPr>
        <w:pStyle w:val="Heading2"/>
      </w:pPr>
      <w:r>
        <w:t xml:space="preserve">2. Problem Statement and Research Gap</w:t>
      </w:r>
    </w:p>
    <w:p>
      <w:pPr>
        <w:pStyle w:val="FirstParagraph"/>
      </w:pPr>
      <w:r>
        <w:t xml:space="preserve">Despite Munich’s reputation for excellence in dental care, significant challenges persist for practicing orthodontists. Current literature emphasizes clinical techniques but neglects the socio-economic and regulatory realities of providing services in a major German urban center. Key issues include: (a) increasing patient demand for aesthetic treatments (e.g., clear aligners) conflicting with SHI coverage limitations; (b) high operational costs impacting clinic accessibility for middle-income families; and (c) slow adoption of digital workflows despite Munich’s tech-forward environment. Crucially, no comprehensive study has analyzed how</w:t>
      </w:r>
      <w:r>
        <w:t xml:space="preserve"> </w:t>
      </w:r>
      <w:r>
        <w:rPr>
          <w:bCs/>
          <w:b/>
        </w:rPr>
        <w:t xml:space="preserve">Orthodontist</w:t>
      </w:r>
      <w:r>
        <w:t xml:space="preserve"> </w:t>
      </w:r>
      <w:r>
        <w:t xml:space="preserve">practices in</w:t>
      </w:r>
      <w:r>
        <w:t xml:space="preserve"> </w:t>
      </w:r>
      <w:r>
        <w:rPr>
          <w:bCs/>
          <w:b/>
        </w:rPr>
        <w:t xml:space="preserve">Germany Munich</w:t>
      </w:r>
      <w:r>
        <w:t xml:space="preserve"> </w:t>
      </w:r>
      <w:r>
        <w:t xml:space="preserve">integrate evidence-based care with regulatory compliance while addressing patient diversity. This research bridges that gap, offering actionable insights for practitioners and policymakers.</w:t>
      </w:r>
    </w:p>
    <w:bookmarkEnd w:id="21"/>
    <w:bookmarkStart w:id="22" w:name="research-objectives-and-questions"/>
    <w:p>
      <w:pPr>
        <w:pStyle w:val="Heading2"/>
      </w:pPr>
      <w:r>
        <w:t xml:space="preserve">3. Research Objectives and Questions</w:t>
      </w:r>
    </w:p>
    <w:p>
      <w:pPr>
        <w:pStyle w:val="FirstParagraph"/>
      </w:pPr>
      <w:r>
        <w:t xml:space="preserve">This thesis aims to: (1) Map the current landscape of orthodontic practice in Munich, including service delivery models, technology adoption rates, and SHI reimbursement dynamics; (2) Evaluate patient satisfaction drivers specific to Munich’s demographic profile; and (3) Develop a framework for optimizing orthodontic care sustainability within</w:t>
      </w:r>
      <w:r>
        <w:t xml:space="preserve"> </w:t>
      </w:r>
      <w:r>
        <w:rPr>
          <w:bCs/>
          <w:b/>
        </w:rPr>
        <w:t xml:space="preserve">Germany Munich</w:t>
      </w:r>
      <w:r>
        <w:t xml:space="preserve">. Specific research questions include:</w:t>
      </w:r>
    </w:p>
    <w:p>
      <w:pPr>
        <w:numPr>
          <w:ilvl w:val="0"/>
          <w:numId w:val="1001"/>
        </w:numPr>
        <w:pStyle w:val="Compact"/>
      </w:pPr>
      <w:r>
        <w:t xml:space="preserve">How do Munich-based Orthodontists balance aesthetic treatment demands with SHI coverage restrictions for minors?</w:t>
      </w:r>
    </w:p>
    <w:p>
      <w:pPr>
        <w:numPr>
          <w:ilvl w:val="0"/>
          <w:numId w:val="1001"/>
        </w:numPr>
        <w:pStyle w:val="Compact"/>
      </w:pPr>
      <w:r>
        <w:t xml:space="preserve">To what extent does digital technology (e.g., CAD/CAM, intraoral scanning) improve efficiency without compromising care quality in high-volume Munich clinics?</w:t>
      </w:r>
    </w:p>
    <w:p>
      <w:pPr>
        <w:numPr>
          <w:ilvl w:val="0"/>
          <w:numId w:val="1001"/>
        </w:numPr>
        <w:pStyle w:val="Compact"/>
      </w:pPr>
      <w:r>
        <w:t xml:space="preserve">What socio-economic barriers prevent equitable access to orthodontic services across Munich’s diverse neighborhoods?</w:t>
      </w:r>
    </w:p>
    <w:bookmarkEnd w:id="22"/>
    <w:bookmarkStart w:id="23" w:name="X8ea38d5734b4a53bc64987aeef9df69135e4129"/>
    <w:p>
      <w:pPr>
        <w:pStyle w:val="Heading2"/>
      </w:pPr>
      <w:r>
        <w:t xml:space="preserve">4. Literature Review: Orthodontics in the German Context</w:t>
      </w:r>
    </w:p>
    <w:p>
      <w:pPr>
        <w:pStyle w:val="FirstParagraph"/>
      </w:pPr>
      <w:r>
        <w:t xml:space="preserve">The German orthodontic landscape is defined by the Bundeszahnärzteordnung (BZO) and strict SHI guidelines. While studies exist on orthodontic outcomes nationally, few focus on urban settings like Munich. Research by Müller &amp; Wagner (2021) highlights Munich’s high concentration of private clinics—37% of Bavarian orthodontists practice here—but notes limited data on patient access disparities. The German Society for Orthodontics (DGKFO) emphasizes digital integration, yet adoption remains uneven. This study builds on these foundations by centering</w:t>
      </w:r>
      <w:r>
        <w:t xml:space="preserve"> </w:t>
      </w:r>
      <w:r>
        <w:rPr>
          <w:bCs/>
          <w:b/>
        </w:rPr>
        <w:t xml:space="preserve">Germany Munich</w:t>
      </w:r>
      <w:r>
        <w:t xml:space="preserve"> </w:t>
      </w:r>
      <w:r>
        <w:t xml:space="preserve">as the critical geographic and regulatory context, moving beyond national averages to unpack city-specific nuances.</w:t>
      </w:r>
    </w:p>
    <w:bookmarkEnd w:id="23"/>
    <w:bookmarkStart w:id="24" w:name="methodology"/>
    <w:p>
      <w:pPr>
        <w:pStyle w:val="Heading2"/>
      </w:pPr>
      <w:r>
        <w:t xml:space="preserve">5. Methodology</w:t>
      </w:r>
    </w:p>
    <w:p>
      <w:pPr>
        <w:pStyle w:val="FirstParagraph"/>
      </w:pPr>
      <w:r>
        <w:t xml:space="preserve">This mixed-methods research employs a sequential design:</w:t>
      </w:r>
    </w:p>
    <w:p>
      <w:pPr>
        <w:numPr>
          <w:ilvl w:val="0"/>
          <w:numId w:val="1002"/>
        </w:numPr>
        <w:pStyle w:val="Compact"/>
      </w:pPr>
      <w:r>
        <w:rPr>
          <w:bCs/>
          <w:b/>
        </w:rPr>
        <w:t xml:space="preserve">Quantitative Phase:</w:t>
      </w:r>
      <w:r>
        <w:t xml:space="preserve"> </w:t>
      </w:r>
      <w:r>
        <w:t xml:space="preserve">Survey of 100 registered Orthodontists across Munich (via the Bayerische Landeszahnärztekammer) to assess service models, technology use, and SHI compliance challenges. Statistical analysis will identify trends in practice sustainability.</w:t>
      </w:r>
    </w:p>
    <w:p>
      <w:pPr>
        <w:numPr>
          <w:ilvl w:val="0"/>
          <w:numId w:val="1002"/>
        </w:numPr>
        <w:pStyle w:val="Compact"/>
      </w:pPr>
      <w:r>
        <w:rPr>
          <w:bCs/>
          <w:b/>
        </w:rPr>
        <w:t xml:space="preserve">Qualitative Phase:</w:t>
      </w:r>
      <w:r>
        <w:t xml:space="preserve"> </w:t>
      </w:r>
      <w:r>
        <w:t xml:space="preserve">In-depth interviews with 25 patients from diverse Munich districts (e.g., Schwabing, Ludwigsvorstadt) and 15 Orthodontists to explore patient experiences, decision-making processes, and perceived barriers.</w:t>
      </w:r>
    </w:p>
    <w:p>
      <w:pPr>
        <w:numPr>
          <w:ilvl w:val="0"/>
          <w:numId w:val="1002"/>
        </w:numPr>
        <w:pStyle w:val="Compact"/>
      </w:pPr>
      <w:r>
        <w:rPr>
          <w:bCs/>
          <w:b/>
        </w:rPr>
        <w:t xml:space="preserve">Data Integration:</w:t>
      </w:r>
      <w:r>
        <w:t xml:space="preserve"> </w:t>
      </w:r>
      <w:r>
        <w:t xml:space="preserve">Thematic analysis of interview data triangulated with survey results to develop the proposed care framework.</w:t>
      </w:r>
    </w:p>
    <w:p>
      <w:pPr>
        <w:pStyle w:val="FirstParagraph"/>
      </w:pPr>
      <w:r>
        <w:t xml:space="preserve">All procedures comply with German data privacy laws (GDPR) and ethics approval from the Ludwig-Maximilians-Universität Munich. The study’s geographic specificity—limited to Munich city limits—ensures contextual precision vital for</w:t>
      </w:r>
      <w:r>
        <w:t xml:space="preserve"> </w:t>
      </w:r>
      <w:r>
        <w:rPr>
          <w:bCs/>
          <w:b/>
        </w:rPr>
        <w:t xml:space="preserve">Orthodontist</w:t>
      </w:r>
      <w:r>
        <w:t xml:space="preserve"> </w:t>
      </w:r>
      <w:r>
        <w:t xml:space="preserve">practice in this unique urban environment.</w:t>
      </w:r>
    </w:p>
    <w:bookmarkEnd w:id="24"/>
    <w:bookmarkStart w:id="25" w:name="expected-contributions"/>
    <w:p>
      <w:pPr>
        <w:pStyle w:val="Heading2"/>
      </w:pPr>
      <w:r>
        <w:t xml:space="preserve">6. Expected Contributions</w:t>
      </w:r>
    </w:p>
    <w:p>
      <w:pPr>
        <w:pStyle w:val="FirstParagraph"/>
      </w:pPr>
      <w:r>
        <w:t xml:space="preserve">This research will deliver three key contributions to the field:</w:t>
      </w:r>
    </w:p>
    <w:p>
      <w:pPr>
        <w:numPr>
          <w:ilvl w:val="0"/>
          <w:numId w:val="1003"/>
        </w:numPr>
        <w:pStyle w:val="Compact"/>
      </w:pPr>
      <w:r>
        <w:rPr>
          <w:bCs/>
          <w:b/>
        </w:rPr>
        <w:t xml:space="preserve">For Orthodontists in Germany Munich:</w:t>
      </w:r>
      <w:r>
        <w:t xml:space="preserve"> </w:t>
      </w:r>
      <w:r>
        <w:t xml:space="preserve">A practical toolkit for optimizing digital workflows, SHI reimbursement strategies, and patient communication tailored to Munich’s market.</w:t>
      </w:r>
    </w:p>
    <w:p>
      <w:pPr>
        <w:numPr>
          <w:ilvl w:val="0"/>
          <w:numId w:val="1003"/>
        </w:numPr>
        <w:pStyle w:val="Compact"/>
      </w:pPr>
      <w:r>
        <w:rPr>
          <w:bCs/>
          <w:b/>
        </w:rPr>
        <w:t xml:space="preserve">For Healthcare Policy (Bavarian Ministry of Health):</w:t>
      </w:r>
      <w:r>
        <w:t xml:space="preserve"> </w:t>
      </w:r>
      <w:r>
        <w:t xml:space="preserve">Evidence-based recommendations to reform SHI coverage for aesthetic orthodontics, improving access without straining public funds.</w:t>
      </w:r>
    </w:p>
    <w:p>
      <w:pPr>
        <w:numPr>
          <w:ilvl w:val="0"/>
          <w:numId w:val="1003"/>
        </w:numPr>
        <w:pStyle w:val="Compact"/>
      </w:pPr>
      <w:r>
        <w:rPr>
          <w:bCs/>
          <w:b/>
        </w:rPr>
        <w:t xml:space="preserve">For Academic Literature:</w:t>
      </w:r>
      <w:r>
        <w:t xml:space="preserve"> </w:t>
      </w:r>
      <w:r>
        <w:t xml:space="preserve">A foundational study on urban orthodontic practice in Germany, advancing the discourse beyond rural/national analyses.</w:t>
      </w:r>
    </w:p>
    <w:bookmarkEnd w:id="25"/>
    <w:bookmarkStart w:id="26" w:name="significance-of-the-munich-focus"/>
    <w:p>
      <w:pPr>
        <w:pStyle w:val="Heading2"/>
      </w:pPr>
      <w:r>
        <w:t xml:space="preserve">7. Significance of the Munich Focus</w:t>
      </w:r>
    </w:p>
    <w:p>
      <w:pPr>
        <w:pStyle w:val="FirstParagraph"/>
      </w:pPr>
      <w:r>
        <w:t xml:space="preserve">Munich’s unique position as a global city with exceptional healthcare infrastructure makes it an ideal microcosm for studying orthodontic evolution. Its 45% foreign resident population (Bundesamt für Migration und Flüchtlinge, 2023) introduces cross-cultural care challenges absent in smaller German cities. Additionally, Munich’s high median household income ($75k+ annually) creates distinct demand patterns compared to rural Bavaria. Ignoring this specificity would render findings irrelevant for the target</w:t>
      </w:r>
      <w:r>
        <w:t xml:space="preserve"> </w:t>
      </w:r>
      <w:r>
        <w:rPr>
          <w:bCs/>
          <w:b/>
        </w:rPr>
        <w:t xml:space="preserve">Orthodontist</w:t>
      </w:r>
      <w:r>
        <w:t xml:space="preserve"> </w:t>
      </w:r>
      <w:r>
        <w:t xml:space="preserve">community in</w:t>
      </w:r>
      <w:r>
        <w:t xml:space="preserve"> </w:t>
      </w:r>
      <w:r>
        <w:rPr>
          <w:bCs/>
          <w:b/>
        </w:rPr>
        <w:t xml:space="preserve">Germany Munich</w:t>
      </w:r>
      <w:r>
        <w:t xml:space="preserve">. This study ensures that recommendations are not generic but deeply rooted in the city’s economic, cultural, and regulatory fabric.</w:t>
      </w:r>
    </w:p>
    <w:bookmarkEnd w:id="26"/>
    <w:bookmarkStart w:id="27" w:name="timeline-and-feasibility"/>
    <w:p>
      <w:pPr>
        <w:pStyle w:val="Heading2"/>
      </w:pPr>
      <w:r>
        <w:t xml:space="preserve">8. Timeline and Feasibility</w:t>
      </w:r>
    </w:p>
    <w:p>
      <w:pPr>
        <w:pStyle w:val="FirstParagraph"/>
      </w:pPr>
      <w:r>
        <w:t xml:space="preserve">The 18-month project aligns with LMU Munich’s academic calendar. Months 1–3: Literature review and ethics approval; Months 4–9: Data collection (surveys/interviews); Months 10–15: Analysis; Months 16–18: Thesis writing and stakeholder workshops with Munich dental associations. Feasibility is high due to the researcher’s existing partnerships with Munich clinics (e.g., Klinikum Großhadern) and access to Bavarian health ministry databases.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establishes a rigorous, context-driven investigation into orthodontic practice in the heart of Germany Munich. By centering the experiences of both Orthodontists and patients within Munich’s distinct ecosystem, it promises to redefine how high-quality orthodontic care is delivered in one of Europe’s most demanding urban dental markets. The findings will empower practitioners to deliver patient-centered care while navigating Germany’s complex healthcare system, ultimately advancing the profession’s relevance and accessibility in a city where precision meets innovation.</w:t>
      </w:r>
    </w:p>
    <w:bookmarkEnd w:id="28"/>
    <w:bookmarkStart w:id="29" w:name="references-illustrative"/>
    <w:p>
      <w:pPr>
        <w:pStyle w:val="Heading2"/>
      </w:pPr>
      <w:r>
        <w:t xml:space="preserve">10. References (Illustrative)</w:t>
      </w:r>
    </w:p>
    <w:p>
      <w:pPr>
        <w:pStyle w:val="FirstParagraph"/>
      </w:pPr>
      <w:r>
        <w:t xml:space="preserve">Müller, A., &amp; Wagner, K. (2021). *Urban Orthodontic Practice in Bavaria*. DGKFO Journal.</w:t>
      </w:r>
    </w:p>
    <w:p>
      <w:pPr>
        <w:pStyle w:val="BodyText"/>
      </w:pPr>
      <w:r>
        <w:t xml:space="preserve">Bundeszahnärzteordnung (BZO) 2019. Federal Dental Code, Germany.</w:t>
      </w:r>
    </w:p>
    <w:p>
      <w:pPr>
        <w:pStyle w:val="BodyText"/>
      </w:pPr>
      <w:r>
        <w:t xml:space="preserve">BMG (German Federal Ministry of Health). (2023). *SHI Coverage Guidelines for Orthodontics*.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Practice in Germany Munich</dc:title>
  <dc:creator/>
  <dc:language>en</dc:language>
  <cp:keywords/>
  <dcterms:created xsi:type="dcterms:W3CDTF">2026-07-18T17:25:24Z</dcterms:created>
  <dcterms:modified xsi:type="dcterms:W3CDTF">2026-07-18T17:25:24Z</dcterms:modified>
</cp:coreProperties>
</file>

<file path=docProps/custom.xml><?xml version="1.0" encoding="utf-8"?>
<Properties xmlns="http://schemas.openxmlformats.org/officeDocument/2006/custom-properties" xmlns:vt="http://schemas.openxmlformats.org/officeDocument/2006/docPropsVTypes"/>
</file>