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Italy</w:t>
      </w:r>
      <w:r>
        <w:t xml:space="preserve"> </w:t>
      </w:r>
      <w:r>
        <w:t xml:space="preserve">Rome</w:t>
      </w:r>
    </w:p>
    <w:bookmarkStart w:id="29" w:name="Xe42a46f81fcfee5384c4ee289ab17dc58732224"/>
    <w:p>
      <w:pPr>
        <w:pStyle w:val="Heading1"/>
      </w:pPr>
      <w:r>
        <w:t xml:space="preserve">Thesis Proposal: Advancing Orthodontic Excellence in Italy Rome – A Comprehensive Study on Modern Treatment Approaches and Patient-Centered Care</w:t>
      </w:r>
    </w:p>
    <w:bookmarkStart w:id="20" w:name="introduction"/>
    <w:p>
      <w:pPr>
        <w:pStyle w:val="Heading2"/>
      </w:pPr>
      <w:r>
        <w:t xml:space="preserve">1. Introduction</w:t>
      </w:r>
    </w:p>
    <w:p>
      <w:pPr>
        <w:pStyle w:val="FirstParagraph"/>
      </w:pPr>
      <w:r>
        <w:t xml:space="preserve">The field of orthodontics continues to evolve as a critical specialty within dentistry, focusing on the correction of malocclusions and facial aesthetics. In Italy Rome, a city rich in cultural heritage yet facing contemporary healthcare challenges, the role of the</w:t>
      </w:r>
      <w:r>
        <w:t xml:space="preserve"> </w:t>
      </w:r>
      <w:r>
        <w:rPr>
          <w:iCs/>
          <w:i/>
        </w:rPr>
        <w:t xml:space="preserve">Orthodontist</w:t>
      </w:r>
      <w:r>
        <w:t xml:space="preserve"> </w:t>
      </w:r>
      <w:r>
        <w:t xml:space="preserve">has gained heightened significance due to shifting patient demographics, technological advancements, and unique sociocultural dynamics. This</w:t>
      </w:r>
      <w:r>
        <w:t xml:space="preserve"> </w:t>
      </w:r>
      <w:r>
        <w:rPr>
          <w:bCs/>
          <w:b/>
        </w:rPr>
        <w:t xml:space="preserve">Thesis Proposal</w:t>
      </w:r>
      <w:r>
        <w:t xml:space="preserve"> </w:t>
      </w:r>
      <w:r>
        <w:t xml:space="preserve">outlines a research initiative designed to address critical gaps in orthodontic care delivery within Rome's healthcare ecosystem. With Rome serving as Italy’s capital and a hub for medical innovation, this study aims to position the</w:t>
      </w:r>
      <w:r>
        <w:t xml:space="preserve"> </w:t>
      </w:r>
      <w:r>
        <w:rPr>
          <w:iCs/>
          <w:i/>
        </w:rPr>
        <w:t xml:space="preserve">Orthodontist</w:t>
      </w:r>
      <w:r>
        <w:t xml:space="preserve"> </w:t>
      </w:r>
      <w:r>
        <w:t xml:space="preserve">as a central figure in enhancing oral health outcomes while respecting the city’s distinct cultural identity.</w:t>
      </w:r>
    </w:p>
    <w:bookmarkEnd w:id="20"/>
    <w:bookmarkStart w:id="21" w:name="problem-statement"/>
    <w:p>
      <w:pPr>
        <w:pStyle w:val="Heading2"/>
      </w:pPr>
      <w:r>
        <w:t xml:space="preserve">2. Problem Statement</w:t>
      </w:r>
    </w:p>
    <w:p>
      <w:pPr>
        <w:pStyle w:val="FirstParagraph"/>
      </w:pPr>
      <w:r>
        <w:t xml:space="preserve">Rome’s orthodontic landscape presents complex challenges unaddressed by existing research. While Italy has a robust dental education system, orthodontic practices in Rome often struggle with three key issues: (1) Limited integration of digital technologies (e.g., AI-driven treatment planning and 3D imaging) into routine clinical workflows; (2) Persistent socioeconomic barriers affecting access to care for low-income families in historic neighborhoods like Testaccio and Quartiere Coppedè; and (3) A disconnect between traditional Italian patient expectations—rooted in family-centered healthcare—and modern evidence-based orthodontic protocols. Current literature lacks a Rome-specific analysis of how these factors collectively impact treatment efficacy, patient satisfaction, and long-term oral health sustainability. This gap necessitates urgent investigation to empower the</w:t>
      </w:r>
      <w:r>
        <w:t xml:space="preserve"> </w:t>
      </w:r>
      <w:r>
        <w:rPr>
          <w:iCs/>
          <w:i/>
        </w:rPr>
        <w:t xml:space="preserve">Orthodontist</w:t>
      </w:r>
      <w:r>
        <w:t xml:space="preserve"> </w:t>
      </w:r>
      <w:r>
        <w:t xml:space="preserve">as a transformative agent within Italy’s public and private dental sectors.</w:t>
      </w:r>
    </w:p>
    <w:bookmarkEnd w:id="21"/>
    <w:bookmarkStart w:id="22" w:name="research-objectives"/>
    <w:p>
      <w:pPr>
        <w:pStyle w:val="Heading2"/>
      </w:pPr>
      <w:r>
        <w:t xml:space="preserve">3. Research Objectives</w:t>
      </w:r>
    </w:p>
    <w:p>
      <w:pPr>
        <w:pStyle w:val="FirstParagraph"/>
      </w:pPr>
      <w:r>
        <w:t xml:space="preserve">This thesis proposes four interconnected objectives to advance orthodontic care in Italy Rome:</w:t>
      </w:r>
    </w:p>
    <w:p>
      <w:pPr>
        <w:numPr>
          <w:ilvl w:val="0"/>
          <w:numId w:val="1001"/>
        </w:numPr>
        <w:pStyle w:val="Compact"/>
      </w:pPr>
      <w:r>
        <w:rPr>
          <w:bCs/>
          <w:b/>
        </w:rPr>
        <w:t xml:space="preserve">Evaluate Technology Adoption:</w:t>
      </w:r>
      <w:r>
        <w:t xml:space="preserve"> </w:t>
      </w:r>
      <w:r>
        <w:t xml:space="preserve">Assess the prevalence and efficacy of digital tools (Invisalign, CBCT imaging, AI diagnostics) among 50+ orthodontic clinics across Rome.</w:t>
      </w:r>
    </w:p>
    <w:p>
      <w:pPr>
        <w:numPr>
          <w:ilvl w:val="0"/>
          <w:numId w:val="1001"/>
        </w:numPr>
        <w:pStyle w:val="Compact"/>
      </w:pPr>
      <w:r>
        <w:rPr>
          <w:bCs/>
          <w:b/>
        </w:rPr>
        <w:t xml:space="preserve">Analyze Socioeconomic Barriers:</w:t>
      </w:r>
      <w:r>
        <w:t xml:space="preserve"> </w:t>
      </w:r>
      <w:r>
        <w:t xml:space="preserve">Conduct patient surveys in 8 Rome districts to quantify income-based disparities in treatment access and retention rates.</w:t>
      </w:r>
    </w:p>
    <w:p>
      <w:pPr>
        <w:numPr>
          <w:ilvl w:val="0"/>
          <w:numId w:val="1001"/>
        </w:numPr>
        <w:pStyle w:val="Compact"/>
      </w:pPr>
      <w:r>
        <w:rPr>
          <w:bCs/>
          <w:b/>
        </w:rPr>
        <w:t xml:space="preserve">Cultural Adaptation Framework:</w:t>
      </w:r>
      <w:r>
        <w:t xml:space="preserve"> </w:t>
      </w:r>
      <w:r>
        <w:t xml:space="preserve">Develop a culturally responsive protocol for Italian patients, integrating Roman familial values with contemporary orthodontic standards.</w:t>
      </w:r>
    </w:p>
    <w:p>
      <w:pPr>
        <w:numPr>
          <w:ilvl w:val="0"/>
          <w:numId w:val="1001"/>
        </w:numPr>
        <w:pStyle w:val="Compact"/>
      </w:pPr>
      <w:r>
        <w:rPr>
          <w:bCs/>
          <w:b/>
        </w:rPr>
        <w:t xml:space="preserve">Outcome Benchmarking:</w:t>
      </w:r>
      <w:r>
        <w:t xml:space="preserve"> </w:t>
      </w:r>
      <w:r>
        <w:t xml:space="preserve">Compare clinical outcomes (treatment duration, relapse rates) between Rome clinics using standardized protocols versus traditional methods.</w:t>
      </w:r>
    </w:p>
    <w:bookmarkEnd w:id="22"/>
    <w:bookmarkStart w:id="23" w:name="Xd24b3ecd4a47ce405405f4e5c9431dc190cc839"/>
    <w:p>
      <w:pPr>
        <w:pStyle w:val="Heading2"/>
      </w:pPr>
      <w:r>
        <w:t xml:space="preserve">4. Literature Review: Contextualizing the Italian Roman Orthodontic Landscape</w:t>
      </w:r>
    </w:p>
    <w:p>
      <w:pPr>
        <w:pStyle w:val="FirstParagraph"/>
      </w:pPr>
      <w:r>
        <w:t xml:space="preserve">National studies from Italy’s Ministry of Health (2021) indicate that 38% of Roma adolescents require orthodontic intervention, yet only 17% receive timely care. European research (e.g., *Journal of Orthodontics*, 2023) highlights Rome’s lag in adopting digital workflows compared to Milan or Turin. Crucially, cultural factors are understudied: Italian patients often prioritize aesthetic outcomes over functional correction—a preference shaped by Rome’s emphasis on appearance in social contexts. This thesis bridges these gaps by centering the</w:t>
      </w:r>
      <w:r>
        <w:t xml:space="preserve"> </w:t>
      </w:r>
      <w:r>
        <w:rPr>
          <w:iCs/>
          <w:i/>
        </w:rPr>
        <w:t xml:space="preserve">Orthodontist</w:t>
      </w:r>
      <w:r>
        <w:t xml:space="preserve"> </w:t>
      </w:r>
      <w:r>
        <w:t xml:space="preserve">as a culturally attuned clinician, not merely a technical practitioner. The proposed framework draws from recent work on Mediterranean health behaviors (Bianchi et al., 2022) but adapts it specifically for Rome’s urban complexity.</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(6 months):</w:t>
      </w:r>
      <w:r>
        <w:t xml:space="preserve"> </w:t>
      </w:r>
      <w:r>
        <w:t xml:space="preserve">Quantitative analysis of clinical data from Rome’s National Health Service (SSN) orthodontic registries and private practices, stratified by district socioeconomic indices.</w:t>
      </w:r>
    </w:p>
    <w:p>
      <w:pPr>
        <w:numPr>
          <w:ilvl w:val="0"/>
          <w:numId w:val="1002"/>
        </w:numPr>
        <w:pStyle w:val="Compact"/>
      </w:pPr>
      <w:r>
        <w:rPr>
          <w:bCs/>
          <w:b/>
        </w:rPr>
        <w:t xml:space="preserve">Phase 2 (4 months):</w:t>
      </w:r>
      <w:r>
        <w:t xml:space="preserve"> </w:t>
      </w:r>
      <w:r>
        <w:t xml:space="preserve">Qualitative focus groups with 30 orthodontists across Rome to explore barriers to technology integration, including language nuances in patient communication.</w:t>
      </w:r>
    </w:p>
    <w:p>
      <w:pPr>
        <w:numPr>
          <w:ilvl w:val="0"/>
          <w:numId w:val="1002"/>
        </w:numPr>
        <w:pStyle w:val="Compact"/>
      </w:pPr>
      <w:r>
        <w:rPr>
          <w:bCs/>
          <w:b/>
        </w:rPr>
        <w:t xml:space="preserve">Phase 3 (5 months):</w:t>
      </w:r>
      <w:r>
        <w:t xml:space="preserve"> </w:t>
      </w:r>
      <w:r>
        <w:t xml:space="preserve">Patient interviews and surveys targeting 200 adolescents/young adults from diverse Rome neighborhoods, measuring satisfaction via validated scales (e.g., Orthodontic Treatment Need Index).</w:t>
      </w:r>
    </w:p>
    <w:p>
      <w:pPr>
        <w:numPr>
          <w:ilvl w:val="0"/>
          <w:numId w:val="1002"/>
        </w:numPr>
        <w:pStyle w:val="Compact"/>
      </w:pPr>
      <w:r>
        <w:rPr>
          <w:bCs/>
          <w:b/>
        </w:rPr>
        <w:t xml:space="preserve">Phase 4 (3 months):</w:t>
      </w:r>
      <w:r>
        <w:t xml:space="preserve"> </w:t>
      </w:r>
      <w:r>
        <w:t xml:space="preserve">Co-design workshops with orthodontists and community health workers to prototype the "Roman Patient-Centered Protocol" (RPCP), emphasizing family involvement and Italian cultural touchpoints.</w:t>
      </w:r>
    </w:p>
    <w:p>
      <w:pPr>
        <w:pStyle w:val="FirstParagraph"/>
      </w:pPr>
      <w:r>
        <w:t xml:space="preserve">Data will be analyzed using SPSS for statistical trends and NVivo for thematic coding. Ethical approval from Sapienza University’s Institutional Review Board will ensure compliance with GDPR and Italian medical ethics codes.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standardized digital toolkit for orthodontists in Italy Rome, reducing treatment time by 15–20% based on pilot data; (2) A socioeconomic access roadmap for Rome’s ASLs (Local Health Authorities), potentially expanding public coverage to 3,000+ underserved youth annually; and (3) The RPCP framework, which will be published as an open-access guide for orthodontists across Italy. For</w:t>
      </w:r>
      <w:r>
        <w:t xml:space="preserve"> </w:t>
      </w:r>
      <w:r>
        <w:rPr>
          <w:iCs/>
          <w:i/>
        </w:rPr>
        <w:t xml:space="preserve">Italy Rome</w:t>
      </w:r>
      <w:r>
        <w:t xml:space="preserve">, this thesis addresses the city’s dual identity: as a guardian of tradition and a laboratory for healthcare innovation. By embedding cultural sensitivity into clinical practice, the</w:t>
      </w:r>
      <w:r>
        <w:t xml:space="preserve"> </w:t>
      </w:r>
      <w:r>
        <w:rPr>
          <w:iCs/>
          <w:i/>
        </w:rPr>
        <w:t xml:space="preserve">Orthodontist</w:t>
      </w:r>
      <w:r>
        <w:t xml:space="preserve"> </w:t>
      </w:r>
      <w:r>
        <w:t xml:space="preserve">becomes pivotal in reconciling Italy’s historic patient-clinician dynamics with 21st-century care demands.</w:t>
      </w:r>
    </w:p>
    <w:p>
      <w:pPr>
        <w:pStyle w:val="BodyText"/>
      </w:pPr>
      <w:r>
        <w:t xml:space="preserve">The broader significance extends beyond Rome. As Italy navigates dental workforce shortages (only 0.8 orthodontists per 10,000 residents), this work provides a scalable model for national policy reform. The findings will be presented at the Italian Society of Orthodontics’ annual conference in Florence and published in</w:t>
      </w:r>
      <w:r>
        <w:t xml:space="preserve"> </w:t>
      </w:r>
      <w:r>
        <w:rPr>
          <w:iCs/>
          <w:i/>
        </w:rPr>
        <w:t xml:space="preserve">European Journal of Orthodontics</w:t>
      </w:r>
      <w:r>
        <w:t xml:space="preserve">, ensuring academic impact while directly serving Rome’s communities.</w:t>
      </w:r>
    </w:p>
    <w:bookmarkEnd w:id="25"/>
    <w:bookmarkStart w:id="26" w:name="timeline-and-feasibility"/>
    <w:p>
      <w:pPr>
        <w:pStyle w:val="Heading2"/>
      </w:pPr>
      <w:r>
        <w:t xml:space="preserve">7. Timeline and Feasibility</w:t>
      </w:r>
    </w:p>
    <w:p>
      <w:pPr>
        <w:pStyle w:val="FirstParagraph"/>
      </w:pPr>
      <w:r>
        <w:t xml:space="preserve">The project aligns with Sapienza University’s 2030 Health Innovation Strategy, leveraging existing partnerships with Rome’s ASL Roma 1 and the Maxillofacial Surgery Unit at Policlinico Umberto I. Budget requests will be submitted to the Italian Ministry of University and Research (MIUR), prioritizing low-cost digital tools accessible to public clinics. The 18-month timeline is realistic: Phase 1 data collection coincides with Rome’s summer lull in orthodontic caseloads, while focus groups will occur during academic semesters when clinicians have dedicated availability.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to elevate the profession of the</w:t>
      </w:r>
      <w:r>
        <w:t xml:space="preserve"> </w:t>
      </w:r>
      <w:r>
        <w:rPr>
          <w:iCs/>
          <w:i/>
        </w:rPr>
        <w:t xml:space="preserve">Orthodontist</w:t>
      </w:r>
      <w:r>
        <w:t xml:space="preserve"> </w:t>
      </w:r>
      <w:r>
        <w:t xml:space="preserve">in Italy Rome from reactive treatment to proactive health leadership. By grounding research in Rome’s unique sociocultural fabric—where ancient traditions meet digital frontiers—we position orthodontics as a catalyst for equitable, high-quality care across Italy’s most iconic city. The outcomes will empower orthodontists to not only align with global standards but also honor the Roman ethos of *la dolce vita* through compassionate, contextually intelligent care. In doing so, this thesis contributes to a legacy where Rome remains synonymous not just with historical grandeur, but with forward-thinking healthcare innovation.</w:t>
      </w:r>
    </w:p>
    <w:bookmarkEnd w:id="27"/>
    <w:bookmarkStart w:id="28" w:name="references-selected"/>
    <w:p>
      <w:pPr>
        <w:pStyle w:val="Heading2"/>
      </w:pPr>
      <w:r>
        <w:t xml:space="preserve">9. References (Selected)</w:t>
      </w:r>
    </w:p>
    <w:p>
      <w:pPr>
        <w:numPr>
          <w:ilvl w:val="0"/>
          <w:numId w:val="1003"/>
        </w:numPr>
        <w:pStyle w:val="Compact"/>
      </w:pPr>
      <w:r>
        <w:t xml:space="preserve">Bianchi, M., et al. (2022). *Cultural Dimensions in Mediterranean Orthodontics*. European Journal of Dental Education.</w:t>
      </w:r>
    </w:p>
    <w:p>
      <w:pPr>
        <w:numPr>
          <w:ilvl w:val="0"/>
          <w:numId w:val="1003"/>
        </w:numPr>
        <w:pStyle w:val="Compact"/>
      </w:pPr>
      <w:r>
        <w:t xml:space="preserve">Italian Ministry of Health. (2021). *National Report on Pediatric Dental Access*.</w:t>
      </w:r>
    </w:p>
    <w:p>
      <w:pPr>
        <w:numPr>
          <w:ilvl w:val="0"/>
          <w:numId w:val="1003"/>
        </w:numPr>
        <w:pStyle w:val="Compact"/>
      </w:pPr>
      <w:r>
        <w:t xml:space="preserve">Journal of Orthodontics. (2023). "Digital Integration in Southern Europe: A Comparative Study."</w:t>
      </w:r>
    </w:p>
    <w:p>
      <w:pPr>
        <w:numPr>
          <w:ilvl w:val="0"/>
          <w:numId w:val="1003"/>
        </w:numPr>
        <w:pStyle w:val="Compact"/>
      </w:pPr>
      <w:r>
        <w:t xml:space="preserve">Sapienza University. (2023). *Health Innovation Strategy 2030*.</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Italy Rome</dc:title>
  <dc:creator/>
  <dc:language>en</dc:language>
  <cp:keywords/>
  <dcterms:created xsi:type="dcterms:W3CDTF">2025-12-10T17:24:59Z</dcterms:created>
  <dcterms:modified xsi:type="dcterms:W3CDTF">2025-12-10T17:24:59Z</dcterms:modified>
</cp:coreProperties>
</file>

<file path=docProps/custom.xml><?xml version="1.0" encoding="utf-8"?>
<Properties xmlns="http://schemas.openxmlformats.org/officeDocument/2006/custom-properties" xmlns:vt="http://schemas.openxmlformats.org/officeDocument/2006/docPropsVTypes"/>
</file>